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Competitors don’t patent more than the US – their data is cooked</w:t>
      </w:r>
    </w:p>
    <w:p>
      <w:pPr>
        <w:spacing w:after="80"/>
      </w:pPr>
      <w:r>
        <w:rPr>
          <w:b w:val="0"/>
          <w:i w:val="0"/>
          <w:smallCaps w:val="0"/>
          <w:strike w:val="0"/>
          <w:u w:val="none"/>
        </w:rPr>
        <w:t xml:space="preserve">Alex </w:t>
      </w:r>
      <w:r>
        <w:rPr>
          <w:b/>
          <w:i w:val="0"/>
          <w:smallCaps w:val="0"/>
          <w:strike w:val="0"/>
          <w:sz w:val="26"/>
          <w:u w:val="none"/>
        </w:rPr>
        <w:t>Moss, 24</w:t>
      </w:r>
      <w:r>
        <w:rPr>
          <w:b w:val="0"/>
          <w:i w:val="0"/>
          <w:smallCaps w:val="0"/>
          <w:strike w:val="0"/>
          <w:u w:val="none"/>
        </w:rPr>
        <w:t xml:space="preserve"> - the executive director of the Public Interest Patent Law Institute, previously at the Electronic Frontier Foundation and a patent litigator at Sullivan &amp; Cromwell.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r>
        <w:rPr>
          <w:b w:val="0"/>
          <w:i w:val="0"/>
          <w:smallCaps w:val="0"/>
          <w:strike w:val="0"/>
          <w:u w:val="none"/>
        </w:rPr>
        <w:t xml:space="preserve"> //DH</w:t>
      </w:r>
    </w:p>
    <w:p>
      <w:pPr>
        <w:spacing w:after="60"/>
      </w:pPr>
      <w:r>
        <w:rPr>
          <w:b w:val="0"/>
          <w:i w:val="0"/>
          <w:smallCaps w:val="0"/>
          <w:strike w:val="0"/>
          <w:u w:val="none"/>
        </w:rPr>
        <w:t xml:space="preserve">• </w:t>
      </w:r>
      <w:r>
        <w:rPr>
          <w:b w:val="0"/>
          <w:i w:val="0"/>
          <w:smallCaps w:val="0"/>
          <w:strike w:val="0"/>
          <w:sz w:val="22"/>
          <w:highlight w:val="cyan"/>
          <w:u w:val="single"/>
        </w:rPr>
        <w:t>Patent eligibility law does not</w:t>
      </w:r>
      <w:r>
        <w:rPr>
          <w:b w:val="0"/>
          <w:i w:val="0"/>
          <w:smallCaps w:val="0"/>
          <w:strike w:val="0"/>
          <w:sz w:val="22"/>
          <w:u w:val="single"/>
        </w:rPr>
        <w:t xml:space="preserve"> systematically </w:t>
      </w:r>
      <w:r>
        <w:rPr>
          <w:b w:val="0"/>
          <w:i w:val="0"/>
          <w:smallCaps w:val="0"/>
          <w:strike w:val="0"/>
          <w:sz w:val="22"/>
          <w:highlight w:val="cyan"/>
          <w:u w:val="single"/>
        </w:rPr>
        <w:t>result in the rejection of patent applications in the U.S. that are granted in Europe and China</w:t>
      </w:r>
      <w:r>
        <w:rPr>
          <w:b w:val="0"/>
          <w:i w:val="0"/>
          <w:smallCaps w:val="0"/>
          <w:strike w:val="0"/>
          <w:sz w:val="22"/>
          <w:u w:val="single"/>
        </w:rPr>
        <w:t xml:space="preserve">. </w:t>
      </w:r>
      <w:r>
        <w:rPr>
          <w:b w:val="0"/>
          <w:i w:val="0"/>
          <w:smallCaps w:val="0"/>
          <w:strike w:val="0"/>
          <w:u w:val="none"/>
        </w:rPr>
        <w:t xml:space="preserve">  </w:t>
      </w:r>
    </w:p>
    <w:p>
      <w:pPr>
        <w:spacing w:after="60"/>
      </w:pPr>
      <w:r>
        <w:rPr>
          <w:b w:val="0"/>
          <w:i w:val="0"/>
          <w:smallCaps w:val="0"/>
          <w:strike w:val="0"/>
          <w:u w:val="none"/>
        </w:rPr>
        <w:t xml:space="preserve">A 2017 essay by Kevin Madigan and Adam Mossoff,34 which purported to report study results supporting this claim has been resoundingly debunked.  </w:t>
      </w:r>
    </w:p>
    <w:p>
      <w:pPr>
        <w:spacing w:after="60"/>
      </w:pPr>
      <w:r>
        <w:rPr>
          <w:b w:val="0"/>
          <w:i w:val="0"/>
          <w:smallCaps w:val="0"/>
          <w:strike w:val="0"/>
          <w:sz w:val="22"/>
          <w:highlight w:val="cyan"/>
          <w:u w:val="single"/>
        </w:rPr>
        <w:t>According to a detailed study of a random sample of</w:t>
      </w:r>
      <w:r>
        <w:rPr>
          <w:b w:val="0"/>
          <w:i w:val="0"/>
          <w:smallCaps w:val="0"/>
          <w:strike w:val="0"/>
          <w:sz w:val="22"/>
          <w:u w:val="single"/>
        </w:rPr>
        <w:t xml:space="preserve"> Madigan and </w:t>
      </w:r>
      <w:r>
        <w:rPr>
          <w:b w:val="0"/>
          <w:i w:val="0"/>
          <w:smallCaps w:val="0"/>
          <w:strike w:val="0"/>
          <w:sz w:val="22"/>
          <w:highlight w:val="cyan"/>
          <w:u w:val="single"/>
        </w:rPr>
        <w:t>Mossoff’s</w:t>
      </w:r>
      <w:r>
        <w:rPr>
          <w:b w:val="0"/>
          <w:i w:val="0"/>
          <w:smallCaps w:val="0"/>
          <w:strike w:val="0"/>
          <w:sz w:val="22"/>
          <w:highlight w:val="cyan"/>
          <w:u w:val="single"/>
        </w:rPr>
        <w:t xml:space="preserve"> data</w:t>
      </w:r>
      <w:r>
        <w:rPr>
          <w:b w:val="0"/>
          <w:i w:val="0"/>
          <w:smallCaps w:val="0"/>
          <w:strike w:val="0"/>
          <w:sz w:val="22"/>
          <w:u w:val="single"/>
        </w:rPr>
        <w:t xml:space="preserve"> that was conducted by Abby Rives,</w:t>
      </w:r>
      <w:r>
        <w:rPr>
          <w:b w:val="0"/>
          <w:i w:val="0"/>
          <w:smallCaps w:val="0"/>
          <w:strike w:val="0"/>
          <w:u w:val="none"/>
        </w:rPr>
        <w:t xml:space="preserve"> nearly a quarter—</w:t>
      </w:r>
      <w:r>
        <w:rPr>
          <w:b w:val="0"/>
          <w:i w:val="0"/>
          <w:smallCaps w:val="0"/>
          <w:strike w:val="0"/>
          <w:sz w:val="22"/>
          <w:highlight w:val="cyan"/>
          <w:u w:val="single"/>
        </w:rPr>
        <w:t>24%—of the applications in their dataset had never received even a single eligibility-related rejection</w:t>
      </w:r>
      <w:r>
        <w:rPr>
          <w:b w:val="0"/>
          <w:i w:val="0"/>
          <w:smallCaps w:val="0"/>
          <w:strike w:val="0"/>
          <w:u w:val="none"/>
        </w:rPr>
        <w:t xml:space="preserve">.35 Another </w:t>
      </w:r>
      <w:r>
        <w:rPr>
          <w:b w:val="0"/>
          <w:i w:val="0"/>
          <w:smallCaps w:val="0"/>
          <w:strike w:val="0"/>
          <w:sz w:val="22"/>
          <w:u w:val="single"/>
        </w:rPr>
        <w:t>61% had pending rejections under Sections 102, 103, or 112 at the time they were abandoned</w:t>
      </w:r>
      <w:r>
        <w:rPr>
          <w:b w:val="0"/>
          <w:i w:val="0"/>
          <w:smallCaps w:val="0"/>
          <w:strike w:val="0"/>
          <w:u w:val="none"/>
        </w:rPr>
        <w:t xml:space="preserve">, making it inappropriate to attribute the abandonment solely to a rejection under Section 101.36 Stunningly, </w:t>
      </w:r>
      <w:r>
        <w:rPr>
          <w:b w:val="0"/>
          <w:i w:val="0"/>
          <w:smallCaps w:val="0"/>
          <w:strike w:val="0"/>
          <w:sz w:val="22"/>
          <w:highlight w:val="cyan"/>
          <w:u w:val="single"/>
        </w:rPr>
        <w:t>only 15% of the applications identified by</w:t>
      </w:r>
      <w:r>
        <w:rPr>
          <w:b w:val="0"/>
          <w:i w:val="0"/>
          <w:smallCaps w:val="0"/>
          <w:strike w:val="0"/>
          <w:sz w:val="22"/>
          <w:u w:val="single"/>
        </w:rPr>
        <w:t xml:space="preserve"> Madigan and </w:t>
      </w:r>
      <w:r>
        <w:rPr>
          <w:b w:val="0"/>
          <w:i w:val="0"/>
          <w:smallCaps w:val="0"/>
          <w:strike w:val="0"/>
          <w:sz w:val="22"/>
          <w:highlight w:val="cyan"/>
          <w:u w:val="single"/>
        </w:rPr>
        <w:t>Mossoff</w:t>
      </w:r>
      <w:r>
        <w:rPr>
          <w:b w:val="0"/>
          <w:i w:val="0"/>
          <w:smallCaps w:val="0"/>
          <w:strike w:val="0"/>
          <w:sz w:val="22"/>
          <w:highlight w:val="cyan"/>
          <w:u w:val="single"/>
        </w:rPr>
        <w:t xml:space="preserve"> had received a sole eligibility-related rejection when they were abandoned</w:t>
      </w:r>
      <w:r>
        <w:rPr>
          <w:b w:val="0"/>
          <w:i w:val="0"/>
          <w:smallCaps w:val="0"/>
          <w:strike w:val="0"/>
          <w:u w:val="none"/>
        </w:rPr>
        <w:t xml:space="preserve">.37  Of those, </w:t>
      </w:r>
      <w:r>
        <w:rPr>
          <w:b w:val="0"/>
          <w:i w:val="0"/>
          <w:smallCaps w:val="0"/>
          <w:strike w:val="0"/>
          <w:sz w:val="22"/>
          <w:u w:val="single"/>
        </w:rPr>
        <w:t>almost a quarter</w:t>
      </w:r>
      <w:r>
        <w:rPr>
          <w:b w:val="0"/>
          <w:i w:val="0"/>
          <w:smallCaps w:val="0"/>
          <w:strike w:val="0"/>
          <w:u w:val="none"/>
        </w:rPr>
        <w:t xml:space="preserve"> (22%) </w:t>
      </w:r>
      <w:r>
        <w:rPr>
          <w:b w:val="0"/>
          <w:i w:val="0"/>
          <w:smallCaps w:val="0"/>
          <w:strike w:val="0"/>
          <w:sz w:val="22"/>
          <w:u w:val="single"/>
        </w:rPr>
        <w:t>are the basis for still-pending applications to the same invention disclosed in the abandoned application</w:t>
      </w:r>
      <w:r>
        <w:rPr>
          <w:b w:val="0"/>
          <w:i w:val="0"/>
          <w:smallCaps w:val="0"/>
          <w:strike w:val="0"/>
          <w:u w:val="none"/>
        </w:rPr>
        <w:t xml:space="preserve">.38 This means that, </w:t>
      </w:r>
      <w:r>
        <w:rPr>
          <w:b w:val="0"/>
          <w:i w:val="0"/>
          <w:smallCaps w:val="0"/>
          <w:strike w:val="0"/>
          <w:sz w:val="22"/>
          <w:highlight w:val="cyan"/>
          <w:u w:val="single"/>
        </w:rPr>
        <w:t>in many of these cases, the underlying applications were not rejected, and patents may well issue from those that remain pending</w:t>
      </w:r>
      <w:r>
        <w:rPr>
          <w:b w:val="0"/>
          <w:i w:val="0"/>
          <w:smallCaps w:val="0"/>
          <w:strike w:val="0"/>
          <w:u w:val="none"/>
        </w:rPr>
        <w:t xml:space="preserv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