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Prefer our evidence – it’s based on </w:t>
      </w:r>
      <w:r>
        <w:rPr>
          <w:b/>
          <w:i w:val="0"/>
          <w:smallCaps w:val="0"/>
          <w:strike w:val="0"/>
          <w:sz w:val="26"/>
          <w:u w:val="single"/>
        </w:rPr>
        <w:t>overwhelming</w:t>
      </w:r>
      <w:r>
        <w:rPr>
          <w:b/>
          <w:i w:val="0"/>
          <w:smallCaps w:val="0"/>
          <w:strike w:val="0"/>
          <w:sz w:val="26"/>
          <w:u w:val="none"/>
        </w:rPr>
        <w:t xml:space="preserve"> data – </w:t>
      </w:r>
      <w:r>
        <w:rPr>
          <w:b/>
          <w:i w:val="0"/>
          <w:smallCaps w:val="0"/>
          <w:strike w:val="0"/>
          <w:sz w:val="26"/>
          <w:u w:val="none"/>
        </w:rPr>
        <w:t>aff</w:t>
      </w:r>
      <w:r>
        <w:rPr>
          <w:b/>
          <w:i w:val="0"/>
          <w:smallCaps w:val="0"/>
          <w:strike w:val="0"/>
          <w:sz w:val="26"/>
          <w:u w:val="none"/>
        </w:rPr>
        <w:t xml:space="preserve"> evidence is outdated or not qualified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David </w:t>
      </w:r>
      <w:r>
        <w:rPr>
          <w:b/>
          <w:i w:val="0"/>
          <w:smallCaps w:val="0"/>
          <w:strike w:val="0"/>
          <w:sz w:val="26"/>
          <w:u w:val="none"/>
        </w:rPr>
        <w:t>Jones,</w:t>
      </w:r>
      <w:r>
        <w:rPr>
          <w:b w:val="0"/>
          <w:i w:val="0"/>
          <w:smallCaps w:val="0"/>
          <w:strike w:val="0"/>
          <w:u w:val="none"/>
        </w:rPr>
        <w:t xml:space="preserve"> 20</w:t>
      </w:r>
      <w:r>
        <w:rPr>
          <w:b/>
          <w:i w:val="0"/>
          <w:smallCaps w:val="0"/>
          <w:strike w:val="0"/>
          <w:sz w:val="26"/>
          <w:u w:val="none"/>
        </w:rPr>
        <w:t>24</w:t>
      </w:r>
      <w:r>
        <w:rPr>
          <w:b w:val="0"/>
          <w:i w:val="0"/>
          <w:smallCaps w:val="0"/>
          <w:strike w:val="0"/>
          <w:u w:val="none"/>
        </w:rPr>
        <w:t xml:space="preserve"> – executive director of the </w:t>
      </w:r>
      <w:r>
        <w:rPr>
          <w:b w:val="0"/>
          <w:i w:val="0"/>
          <w:smallCaps w:val="0"/>
          <w:strike w:val="0"/>
          <w:u w:val="none"/>
        </w:rPr>
        <w:t>High Tech</w:t>
      </w:r>
      <w:r>
        <w:rPr>
          <w:b w:val="0"/>
          <w:i w:val="0"/>
          <w:smallCaps w:val="0"/>
          <w:strike w:val="0"/>
          <w:u w:val="none"/>
        </w:rPr>
        <w:t xml:space="preserve"> Inventors Alliance. Questions for the Record from Senator Alex Padilla , Hearing on “The Patent Eligibility Restoration Act – Restoring Clarity, Certainty, and Predictability to the U.S. Patent System” 1/24,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As I noted in my testimony,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USPTO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published a study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examining the application of section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101 that considered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both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patent-eligibility rejection rates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the variability of examiners’ eligibility determinations</w:t>
      </w:r>
      <w:r>
        <w:rPr>
          <w:b w:val="0"/>
          <w:i w:val="0"/>
          <w:smallCaps w:val="0"/>
          <w:strike w:val="0"/>
          <w:u w:val="non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3 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This study found by 2020, both rejection rates and examiner variability were lower than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they were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before the Alice case</w:t>
      </w:r>
      <w:r>
        <w:rPr>
          <w:b w:val="0"/>
          <w:i w:val="0"/>
          <w:smallCaps w:val="0"/>
          <w:strike w:val="0"/>
          <w:u w:val="none"/>
        </w:rPr>
        <w:t xml:space="preserve"> was decided.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4  I also cited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 academic study that examined all 368 patent eligibility decisions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were made by the Federal Circuit between 2012 and 2022</w:t>
      </w:r>
      <w:r>
        <w:rPr>
          <w:b w:val="0"/>
          <w:i w:val="0"/>
          <w:smallCaps w:val="0"/>
          <w:strike w:val="0"/>
          <w:u w:val="none"/>
        </w:rPr>
        <w:t xml:space="preserve">.5 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authors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found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patent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eligibility decisions by district courts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the Patent Trial and Appeal Board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are affirmed at the high rate of 87%,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indicating that eligibility determinations are</w:t>
      </w:r>
      <w:r>
        <w:rPr>
          <w:b w:val="0"/>
          <w:i w:val="0"/>
          <w:smallCaps w:val="0"/>
          <w:strike w:val="0"/>
          <w:u w:val="none"/>
        </w:rPr>
        <w:t xml:space="preserve"> (at least according to the Federal Circuit) </w:t>
      </w:r>
      <w:r>
        <w:rPr>
          <w:b w:val="0"/>
          <w:i w:val="0"/>
          <w:smallCaps w:val="0"/>
          <w:strike w:val="0"/>
          <w:sz w:val="22"/>
          <w:u w:val="single"/>
        </w:rPr>
        <w:t>overwhelmingly correct</w:t>
      </w:r>
      <w:r>
        <w:rPr>
          <w:b w:val="0"/>
          <w:i w:val="0"/>
          <w:smallCaps w:val="0"/>
          <w:strike w:val="0"/>
          <w:u w:val="none"/>
        </w:rPr>
        <w:t xml:space="preserve">.  Perhaps more importantly,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study also found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there was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relatively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little evidence of disagreement among Federal Circuit judges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regarding how to apply the Supreme Court’s patent-eligibility jurisprudence.</w:t>
      </w:r>
      <w:r>
        <w:rPr>
          <w:b w:val="0"/>
          <w:i w:val="0"/>
          <w:smallCaps w:val="0"/>
          <w:strike w:val="0"/>
          <w:u w:val="none"/>
        </w:rPr>
        <w:t xml:space="preserve">  As the authors noted in a summary of their study, “under one of the most well-established metrics for measuring the predictability in the law,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§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101 proved to be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more predictable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than other areas of patent law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over the past decade</w:t>
      </w:r>
      <w:r>
        <w:rPr>
          <w:b w:val="0"/>
          <w:i w:val="0"/>
          <w:smallCaps w:val="0"/>
          <w:strike w:val="0"/>
          <w:u w:val="none"/>
        </w:rPr>
        <w:t xml:space="preserve">.”6  In my oral testimony, I further noted that the USPTO’s own internal quality metrics indicate that Section 101 is the most accurately applied by examiners of the major statutory requirements.7  I also cited a number of additional studies that indicated, e.g., that </w:t>
      </w:r>
      <w:r>
        <w:rPr>
          <w:b w:val="0"/>
          <w:i w:val="0"/>
          <w:smallCaps w:val="0"/>
          <w:strike w:val="0"/>
          <w:sz w:val="22"/>
          <w:u w:val="single"/>
        </w:rPr>
        <w:t>Alice resulted in increased R&amp;D investment8 and that there was “a positive association between Alice and both R&amp;D spending by software firms and patenting by firms that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held relatively more software patents prior to the Court’s opinion</w:t>
      </w:r>
      <w:r>
        <w:rPr>
          <w:b w:val="0"/>
          <w:i w:val="0"/>
          <w:smallCaps w:val="0"/>
          <w:strike w:val="0"/>
          <w:u w:val="none"/>
        </w:rPr>
        <w:t xml:space="preserve">.”9  Finally, in previous testimony, I cited additional data and studies.10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 contrast</w:t>
      </w:r>
      <w:r>
        <w:rPr>
          <w:b w:val="0"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u w:val="none"/>
        </w:rPr>
        <w:t xml:space="preserve"> Director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Kappos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’s testimony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cited a trade press article, a student note, and 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academic article reporting the results of an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opinion survey</w:t>
      </w:r>
      <w:r>
        <w:rPr>
          <w:b w:val="0"/>
          <w:i w:val="0"/>
          <w:smallCaps w:val="0"/>
          <w:strike w:val="0"/>
          <w:u w:val="none"/>
        </w:rPr>
        <w:t xml:space="preserve"> conducted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2017</w:t>
      </w:r>
      <w:r>
        <w:rPr>
          <w:b w:val="0"/>
          <w:i w:val="0"/>
          <w:smallCaps w:val="0"/>
          <w:strike w:val="0"/>
          <w:u w:val="none"/>
        </w:rPr>
        <w:t>.11  Notably</w:t>
      </w:r>
      <w:r>
        <w:rPr>
          <w:b w:val="0"/>
          <w:i w:val="0"/>
          <w:smallCaps w:val="0"/>
          <w:strike w:val="0"/>
          <w:u w:val="none"/>
        </w:rPr>
        <w:t xml:space="preserve">, Director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Kappos and others continue to cite this opinion survey prominently, despite the fact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venture capital investment data are now available for the seven years since the survey was conducted</w:t>
      </w:r>
      <w:r>
        <w:rPr>
          <w:b w:val="0"/>
          <w:i w:val="0"/>
          <w:smallCaps w:val="0"/>
          <w:strike w:val="0"/>
          <w:u w:val="none"/>
        </w:rPr>
        <w:t xml:space="preserve">.  Presumably,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proponents of PERA would cite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actual data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rather than an outdated opinion survey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those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data supported their contentions</w:t>
      </w:r>
      <w:r>
        <w:rPr>
          <w:b w:val="0"/>
          <w:i w:val="0"/>
          <w:smallCaps w:val="0"/>
          <w:strike w:val="0"/>
          <w:u w:val="none"/>
        </w:rPr>
        <w:t xml:space="preserve">.   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