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 eligibility law is clear and predictable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Alex </w:t>
      </w:r>
      <w:r>
        <w:rPr>
          <w:b/>
          <w:i w:val="0"/>
          <w:smallCaps w:val="0"/>
          <w:strike w:val="0"/>
          <w:sz w:val="26"/>
          <w:u w:val="none"/>
        </w:rPr>
        <w:t>Moss, 24</w:t>
      </w:r>
      <w:r>
        <w:rPr>
          <w:b w:val="0"/>
          <w:i w:val="0"/>
          <w:smallCaps w:val="0"/>
          <w:strike w:val="0"/>
          <w:u w:val="none"/>
        </w:rPr>
        <w:t xml:space="preserve"> - the executive director of the Public Interest Patent Law Institute. She was previously at the Electronic Frontier Foundation and a patent litigator at Sullivan &amp; Cromwell. After graduating from Stanford Law School, she served as a judicial clerk to the Honorable Timothy B. Dyk of the U.S. Court of Appeals for the Federal Circuit. “Patent Eligibility Limits are Vital to Innovation, Prosperity, and Public Health” 2/21, </w:t>
      </w:r>
    </w:p>
    <w:p>
      <w:pPr>
        <w:spacing w:after="60"/>
      </w:pP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joint letter opposing PERA directly addresses testimony provided at a recent Senate hearing on patent eligibility. For example, it describes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recent ACLU study show</w:t>
      </w:r>
      <w:r>
        <w:rPr>
          <w:b w:val="0"/>
          <w:i w:val="0"/>
          <w:smallCaps w:val="0"/>
          <w:strike w:val="0"/>
          <w:u w:val="none"/>
        </w:rPr>
        <w:t xml:space="preserve">ing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current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eligibility law is clear, consistent, and predictable</w:t>
      </w:r>
      <w:r>
        <w:rPr>
          <w:b w:val="0"/>
          <w:i w:val="0"/>
          <w:smallCaps w:val="0"/>
          <w:strike w:val="0"/>
          <w:u w:val="none"/>
        </w:rPr>
        <w:t xml:space="preserve">. According to the study,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 2013 through 2020, the Federal Circuit affirmed patent eligibility decisions at a higher rate than the circuit’s average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at a higher rate than validity decisions under other sections of the Patent Act.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Some practitioners may not like the outcomes</w:t>
      </w:r>
      <w:r>
        <w:rPr>
          <w:b w:val="0"/>
          <w:i w:val="0"/>
          <w:smallCaps w:val="0"/>
          <w:strike w:val="0"/>
          <w:u w:val="none"/>
        </w:rPr>
        <w:t xml:space="preserve"> of patent eligibility decisions under existing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evidence leaves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doubt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those outcomes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consistent and predictable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