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Iancu financially profited from expanding patents when he was the director of the PTO</w:t>
      </w:r>
    </w:p>
    <w:p>
      <w:pPr>
        <w:spacing w:after="80"/>
      </w:pPr>
      <w:r>
        <w:rPr>
          <w:b w:val="0"/>
          <w:i w:val="0"/>
          <w:smallCaps w:val="0"/>
          <w:strike w:val="0"/>
          <w:u w:val="none"/>
        </w:rPr>
        <w:t xml:space="preserve">Alex </w:t>
      </w:r>
      <w:r>
        <w:rPr>
          <w:b/>
          <w:i w:val="0"/>
          <w:smallCaps w:val="0"/>
          <w:strike w:val="0"/>
          <w:sz w:val="26"/>
          <w:u w:val="none"/>
        </w:rPr>
        <w:t>Moss</w:t>
      </w:r>
      <w:r>
        <w:rPr>
          <w:b w:val="0"/>
          <w:i w:val="0"/>
          <w:smallCaps w:val="0"/>
          <w:strike w:val="0"/>
          <w:u w:val="none"/>
        </w:rPr>
        <w:t>, 20</w:t>
      </w:r>
      <w:r>
        <w:rPr>
          <w:b/>
          <w:i w:val="0"/>
          <w:smallCaps w:val="0"/>
          <w:strike w:val="0"/>
          <w:sz w:val="26"/>
          <w:u w:val="none"/>
        </w:rPr>
        <w:t>22</w:t>
      </w:r>
      <w:r>
        <w:rPr>
          <w:b w:val="0"/>
          <w:i w:val="0"/>
          <w:smallCaps w:val="0"/>
          <w:strike w:val="0"/>
          <w:u w:val="none"/>
        </w:rP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“Trump’s Patent Director Pressured Judges to Rule in His Law Firm’s Favor” American Prospect, 9/2, </w:t>
      </w:r>
      <w:r>
        <w:rPr>
          <w:b w:val="0"/>
          <w:i w:val="0"/>
          <w:smallCaps w:val="0"/>
          <w:strike w:val="0"/>
          <w:u w:val="none"/>
        </w:rPr>
        <w:t xml:space="preserve"> //DH</w:t>
      </w:r>
    </w:p>
    <w:p>
      <w:pPr>
        <w:spacing w:after="60"/>
      </w:pPr>
      <w:r>
        <w:rPr>
          <w:b w:val="0"/>
          <w:i w:val="0"/>
          <w:smallCaps w:val="0"/>
          <w:strike w:val="0"/>
          <w:u w:val="none"/>
        </w:rPr>
        <w:t xml:space="preserve">The U.S. Patent and Trademark Office (USPTO) might be the most powerful government agency </w:t>
      </w:r>
      <w:r>
        <w:rPr>
          <w:b w:val="0"/>
          <w:i w:val="0"/>
          <w:smallCaps w:val="0"/>
          <w:strike w:val="0"/>
          <w:u w:val="none"/>
        </w:rPr>
        <w:t>the majority of</w:t>
      </w:r>
      <w:r>
        <w:rPr>
          <w:b w:val="0"/>
          <w:i w:val="0"/>
          <w:smallCaps w:val="0"/>
          <w:strike w:val="0"/>
          <w:u w:val="none"/>
        </w:rPr>
        <w:t xml:space="preserve"> Americans have never heard of, much less think about on a daily basis. The USPTO is housed within the Department of Commerce, and it is charged with registering trademarks and granting patents. Its funding comes entirely from application fees, and its task as outlined in the Constitution is to promote the progress and dissemination of new technology. Its decisions therefore enhance or impede people’s access to medical care, agricultural inputs, automobile components, and thousands of other things.</w:t>
      </w:r>
    </w:p>
    <w:p>
      <w:pPr>
        <w:spacing w:after="60"/>
      </w:pPr>
      <w:r>
        <w:rPr>
          <w:b w:val="0"/>
          <w:i w:val="0"/>
          <w:smallCaps w:val="0"/>
          <w:strike w:val="0"/>
          <w:u w:val="none"/>
        </w:rPr>
        <w:t xml:space="preserve">Alas, </w:t>
      </w:r>
      <w:r>
        <w:rPr>
          <w:b w:val="0"/>
          <w:i w:val="0"/>
          <w:smallCaps w:val="0"/>
          <w:strike w:val="0"/>
          <w:sz w:val="22"/>
          <w:u w:val="single"/>
        </w:rPr>
        <w:t>the Patent Office has often neglected to serve the public’s interest</w:t>
      </w:r>
      <w:r>
        <w:rPr>
          <w:b w:val="0"/>
          <w:i w:val="0"/>
          <w:smallCaps w:val="0"/>
          <w:strike w:val="0"/>
          <w:u w:val="none"/>
        </w:rPr>
        <w:t xml:space="preserve">—and seldom has it performed worse than </w:t>
      </w:r>
      <w:r>
        <w:rPr>
          <w:b w:val="0"/>
          <w:i w:val="0"/>
          <w:smallCaps w:val="0"/>
          <w:strike w:val="0"/>
          <w:sz w:val="22"/>
          <w:u w:val="single"/>
        </w:rPr>
        <w:t>under</w:t>
      </w:r>
      <w:r>
        <w:rPr>
          <w:b w:val="0"/>
          <w:i w:val="0"/>
          <w:smallCaps w:val="0"/>
          <w:strike w:val="0"/>
          <w:u w:val="none"/>
        </w:rPr>
        <w:t xml:space="preserve"> Donald Trump’s choice of director, the </w:t>
      </w:r>
      <w:r>
        <w:rPr>
          <w:b w:val="0"/>
          <w:i w:val="0"/>
          <w:smallCaps w:val="0"/>
          <w:strike w:val="0"/>
          <w:sz w:val="22"/>
          <w:u w:val="single"/>
        </w:rPr>
        <w:t>corporate lawyer</w:t>
      </w:r>
      <w:r>
        <w:rPr>
          <w:b w:val="0"/>
          <w:i w:val="0"/>
          <w:smallCaps w:val="0"/>
          <w:strike w:val="0"/>
          <w:u w:val="none"/>
        </w:rPr>
        <w:t xml:space="preserve"> Andrei </w:t>
      </w:r>
      <w:r>
        <w:rPr>
          <w:b w:val="0"/>
          <w:i w:val="0"/>
          <w:smallCaps w:val="0"/>
          <w:strike w:val="0"/>
          <w:sz w:val="22"/>
          <w:u w:val="single"/>
        </w:rPr>
        <w:t>Iancu</w:t>
      </w:r>
      <w:r>
        <w:rPr>
          <w:b w:val="0"/>
          <w:i w:val="0"/>
          <w:smallCaps w:val="0"/>
          <w:strike w:val="0"/>
          <w:u w:val="none"/>
        </w:rPr>
        <w:t>.</w:t>
      </w:r>
    </w:p>
    <w:p>
      <w:pPr>
        <w:spacing w:after="60"/>
      </w:pPr>
      <w:r>
        <w:rPr>
          <w:b w:val="0"/>
          <w:i w:val="0"/>
          <w:smallCaps w:val="0"/>
          <w:strike w:val="0"/>
          <w:u w:val="none"/>
        </w:rPr>
        <w:t xml:space="preserve">With Iancu at the helm, USPTO prioritized the interests of fee-paying companies—or “customers,” as it called them—weakening enforcement of patent </w:t>
      </w:r>
      <w:r>
        <w:rPr>
          <w:b w:val="0"/>
          <w:i w:val="0"/>
          <w:smallCaps w:val="0"/>
          <w:strike w:val="0"/>
          <w:u w:val="none"/>
        </w:rPr>
        <w:t>laws, and</w:t>
      </w:r>
      <w:r>
        <w:rPr>
          <w:b w:val="0"/>
          <w:i w:val="0"/>
          <w:smallCaps w:val="0"/>
          <w:strike w:val="0"/>
          <w:u w:val="none"/>
        </w:rPr>
        <w:t xml:space="preserve"> shrouding the USPTO’s operations in secrecy that precludes public accountability. It’s part of the reason why we have seen drug prices continue to soar, small farmers get crowded out of agriculture markets, and cars become more expensive and inaccessible.</w:t>
      </w:r>
    </w:p>
    <w:p>
      <w:pPr>
        <w:spacing w:after="60"/>
      </w:pPr>
      <w:r>
        <w:rPr>
          <w:b w:val="0"/>
          <w:i w:val="0"/>
          <w:smallCaps w:val="0"/>
          <w:strike w:val="0"/>
          <w:u w:val="none"/>
        </w:rPr>
        <w:t xml:space="preserve">In one Supreme Court case, United States v. Arthrex, the USPTO argued in a brief filed on November 25, 2020, that then-Director Iancu had “broad control” over the Patent Trial and Appeal Board (PTAB). The PTAB consists of administrative patent judges (APJs), who decide important issues, including whether to grant petitions challenging the validity of granted patents, and if so, whether those patents are invalid. Concerned about the USPTO’s arguments, congressional representatives from both parties asked the Government Accountability Office (GAO) to investigate its oversight of the PTAB. </w:t>
      </w:r>
      <w:r>
        <w:rPr>
          <w:b w:val="0"/>
          <w:i w:val="0"/>
          <w:smallCaps w:val="0"/>
          <w:strike w:val="0"/>
          <w:sz w:val="22"/>
          <w:u w:val="single"/>
        </w:rPr>
        <w:t>The GAO</w:t>
      </w:r>
      <w:r>
        <w:rPr>
          <w:b w:val="0"/>
          <w:i w:val="0"/>
          <w:smallCaps w:val="0"/>
          <w:strike w:val="0"/>
          <w:u w:val="none"/>
        </w:rPr>
        <w:t xml:space="preserve"> recently released preliminary results from its </w:t>
      </w:r>
      <w:r>
        <w:rPr>
          <w:b w:val="0"/>
          <w:i w:val="0"/>
          <w:smallCaps w:val="0"/>
          <w:strike w:val="0"/>
          <w:sz w:val="22"/>
          <w:u w:val="single"/>
        </w:rPr>
        <w:t>investigation.</w:t>
      </w:r>
      <w:r>
        <w:rPr>
          <w:b w:val="0"/>
          <w:i w:val="0"/>
          <w:smallCaps w:val="0"/>
          <w:strike w:val="0"/>
          <w:u w:val="none"/>
        </w:rPr>
        <w:t xml:space="preserve"> Those results </w:t>
      </w:r>
      <w:r>
        <w:rPr>
          <w:b w:val="0"/>
          <w:i w:val="0"/>
          <w:smallCaps w:val="0"/>
          <w:strike w:val="0"/>
          <w:sz w:val="22"/>
          <w:u w:val="single"/>
        </w:rPr>
        <w:t>reveal extensive damage done to the transparency, accountability, and integrity of the USPTO during Iancu’s reign.</w:t>
      </w:r>
    </w:p>
    <w:p>
      <w:pPr>
        <w:spacing w:after="60"/>
      </w:pPr>
      <w:r>
        <w:rPr>
          <w:b w:val="0"/>
          <w:i w:val="0"/>
          <w:smallCaps w:val="0"/>
          <w:strike w:val="0"/>
          <w:u w:val="none"/>
        </w:rPr>
        <w:t>According to the GAO report, the overwhelming majority (75 percent) of APJs felt pressured to change their decisions in particular cases to satisfy the preferences of the USPTO’s former director and management rather than the law’s requirements. Judges who refused to do so were removed and replaced with those who would. When that happened, the USPTO not only withheld, but actively misrepresented, the facts, telling the parties the judge was removed because of their unavailability rather than their insistence on independence.</w:t>
      </w:r>
    </w:p>
    <w:p>
      <w:pPr>
        <w:spacing w:after="60"/>
      </w:pPr>
      <w:r>
        <w:rPr>
          <w:b w:val="0"/>
          <w:i w:val="0"/>
          <w:smallCaps w:val="0"/>
          <w:strike w:val="0"/>
          <w:u w:val="none"/>
        </w:rPr>
        <w:t xml:space="preserve">These breaches of the public’s trust are dangerous. Take, for example, the PTAB’s refusal to review a petition challenging the validity of a patent on schizophrenia medication. This conveniently allowed the patent owner to continue litigating against a (different) generic manufacturer in district court. At the time, that decision made no sense: Congress authorized the public to file petitions like this </w:t>
      </w:r>
      <w:r>
        <w:rPr>
          <w:b w:val="0"/>
          <w:i w:val="0"/>
          <w:smallCaps w:val="0"/>
          <w:strike w:val="0"/>
          <w:u w:val="none"/>
        </w:rPr>
        <w:t>in order to</w:t>
      </w:r>
      <w:r>
        <w:rPr>
          <w:b w:val="0"/>
          <w:i w:val="0"/>
          <w:smallCaps w:val="0"/>
          <w:strike w:val="0"/>
          <w:u w:val="none"/>
        </w:rPr>
        <w:t xml:space="preserve"> weed out invalid patents before the litigants and the public waste money on expensive district court trials. Now, </w:t>
      </w:r>
      <w:r>
        <w:rPr>
          <w:b w:val="0"/>
          <w:i w:val="0"/>
          <w:smallCaps w:val="0"/>
          <w:strike w:val="0"/>
          <w:u w:val="none"/>
        </w:rPr>
        <w:t>in light of</w:t>
      </w:r>
      <w:r>
        <w:rPr>
          <w:b w:val="0"/>
          <w:i w:val="0"/>
          <w:smallCaps w:val="0"/>
          <w:strike w:val="0"/>
          <w:u w:val="none"/>
        </w:rPr>
        <w:t xml:space="preserve"> the GAO’s report, it’s logical to conclude that </w:t>
      </w:r>
      <w:r>
        <w:rPr>
          <w:b w:val="0"/>
          <w:i w:val="0"/>
          <w:smallCaps w:val="0"/>
          <w:strike w:val="0"/>
          <w:sz w:val="22"/>
          <w:u w:val="single"/>
        </w:rPr>
        <w:t xml:space="preserve">pressure from USPTO leadership influenced the PTAB’s decision </w:t>
      </w:r>
      <w:r>
        <w:rPr>
          <w:b w:val="0"/>
          <w:i w:val="0"/>
          <w:smallCaps w:val="0"/>
          <w:strike w:val="0"/>
          <w:u w:val="none"/>
        </w:rPr>
        <w:t>to defy the will of Congress.</w:t>
      </w:r>
    </w:p>
    <w:p>
      <w:pPr>
        <w:spacing w:after="60"/>
      </w:pPr>
      <w:r>
        <w:rPr>
          <w:b w:val="0"/>
          <w:i w:val="0"/>
          <w:smallCaps w:val="0"/>
          <w:strike w:val="0"/>
          <w:u w:val="none"/>
        </w:rPr>
        <w:t xml:space="preserve">In another decision, the </w:t>
      </w:r>
      <w:r>
        <w:rPr>
          <w:b w:val="0"/>
          <w:i w:val="0"/>
          <w:smallCaps w:val="0"/>
          <w:strike w:val="0"/>
          <w:sz w:val="22"/>
          <w:u w:val="single"/>
        </w:rPr>
        <w:t>PTAB refused to grant two petitions so that patent infringement trials against Intel could proceed</w:t>
      </w:r>
      <w:r>
        <w:rPr>
          <w:b w:val="0"/>
          <w:i w:val="0"/>
          <w:smallCaps w:val="0"/>
          <w:strike w:val="0"/>
          <w:u w:val="none"/>
        </w:rPr>
        <w:t xml:space="preserve"> in Texas. That decision was not based on the petition’s merits; the PTAB refused to say what it thought of the petition because the district court proceeding was under way. As a result, the patent owner, </w:t>
      </w:r>
      <w:r>
        <w:rPr>
          <w:b w:val="0"/>
          <w:i w:val="0"/>
          <w:smallCaps w:val="0"/>
          <w:strike w:val="0"/>
          <w:sz w:val="22"/>
          <w:u w:val="single"/>
        </w:rPr>
        <w:t>VLSI</w:t>
      </w:r>
      <w:r>
        <w:rPr>
          <w:b w:val="0"/>
          <w:i w:val="0"/>
          <w:smallCaps w:val="0"/>
          <w:strike w:val="0"/>
          <w:u w:val="none"/>
        </w:rPr>
        <w:t xml:space="preserve"> Technology LLC</w:t>
      </w:r>
      <w:r>
        <w:rPr>
          <w:b w:val="0"/>
          <w:i w:val="0"/>
          <w:smallCaps w:val="0"/>
          <w:strike w:val="0"/>
          <w:sz w:val="22"/>
          <w:u w:val="single"/>
        </w:rPr>
        <w:t>, won a damages award of</w:t>
      </w:r>
      <w:r>
        <w:rPr>
          <w:b w:val="0"/>
          <w:i w:val="0"/>
          <w:smallCaps w:val="0"/>
          <w:strike w:val="0"/>
          <w:u w:val="none"/>
        </w:rPr>
        <w:t xml:space="preserve"> over $</w:t>
      </w:r>
      <w:r>
        <w:rPr>
          <w:b w:val="0"/>
          <w:i w:val="0"/>
          <w:smallCaps w:val="0"/>
          <w:strike w:val="0"/>
          <w:sz w:val="22"/>
          <w:u w:val="single"/>
        </w:rPr>
        <w:t>2 billion</w:t>
      </w:r>
      <w:r>
        <w:rPr>
          <w:b w:val="0"/>
          <w:i w:val="0"/>
          <w:smallCaps w:val="0"/>
          <w:strike w:val="0"/>
          <w:u w:val="none"/>
        </w:rPr>
        <w:t>.</w:t>
      </w:r>
    </w:p>
    <w:p>
      <w:pPr>
        <w:spacing w:after="60"/>
      </w:pPr>
      <w:r>
        <w:rPr>
          <w:b w:val="0"/>
          <w:i w:val="0"/>
          <w:smallCaps w:val="0"/>
          <w:strike w:val="0"/>
          <w:u w:val="none"/>
        </w:rPr>
        <w:t>However, under current director Kathi Vidal, the PTAB has granted practically identical petitions against the same patents. This time, the PTAB considered the evidence and decided to grant review because VLSI’s patents are likely invalid, because their claims are preposterous. The patents broadly claim methods of sending information from one part of a computing device to another that were well known decades before the patent applications were filed in 2005 and 2006. If they were valid, any device with a processor chip would infringe them. (While VLSI owns the patents, it played no role in their filing; VLSI was created in 2016 by the Softbank Group–owned Fortress Investment Group.)</w:t>
      </w:r>
    </w:p>
    <w:p>
      <w:pPr>
        <w:spacing w:after="60"/>
      </w:pPr>
      <w:r>
        <w:rPr>
          <w:b w:val="0"/>
          <w:i w:val="0"/>
          <w:smallCaps w:val="0"/>
          <w:strike w:val="0"/>
          <w:u w:val="none"/>
        </w:rPr>
        <w:t>Why did the PTAB’s decision change? The patents and invalidity evidence were the same; what changed was the PTO’s leadership. That change—former Director Iancu’s departure and loss of power over the PTAB—most likely explains the difference in its decisions.</w:t>
      </w:r>
    </w:p>
    <w:p>
      <w:pPr>
        <w:spacing w:after="60"/>
      </w:pPr>
      <w:r>
        <w:rPr>
          <w:b w:val="0"/>
          <w:i w:val="0"/>
          <w:smallCaps w:val="0"/>
          <w:strike w:val="0"/>
          <w:u w:val="none"/>
        </w:rPr>
        <w:t xml:space="preserve">Lo and behold, </w:t>
      </w:r>
      <w:r>
        <w:rPr>
          <w:b/>
          <w:i w:val="0"/>
          <w:smallCaps w:val="0"/>
          <w:strike w:val="0"/>
          <w:sz w:val="22"/>
          <w:u w:val="single"/>
        </w:rPr>
        <w:t xml:space="preserve">there </w:t>
      </w:r>
      <w:r>
        <w:rPr>
          <w:b/>
          <w:i w:val="0"/>
          <w:smallCaps w:val="0"/>
          <w:strike w:val="0"/>
          <w:sz w:val="22"/>
          <w:u w:val="single"/>
        </w:rPr>
        <w:t>is</w:t>
      </w:r>
      <w:r>
        <w:rPr>
          <w:b/>
          <w:i w:val="0"/>
          <w:smallCaps w:val="0"/>
          <w:strike w:val="0"/>
          <w:sz w:val="22"/>
          <w:u w:val="single"/>
        </w:rPr>
        <w:t xml:space="preserve"> a gigantic conflict of interest</w:t>
      </w:r>
      <w:r>
        <w:rPr>
          <w:b w:val="0"/>
          <w:i w:val="0"/>
          <w:smallCaps w:val="0"/>
          <w:strike w:val="0"/>
          <w:u w:val="none"/>
        </w:rPr>
        <w:t xml:space="preserve"> here. </w:t>
      </w:r>
      <w:r>
        <w:rPr>
          <w:b w:val="0"/>
          <w:i w:val="0"/>
          <w:smallCaps w:val="0"/>
          <w:strike w:val="0"/>
          <w:sz w:val="22"/>
          <w:u w:val="single"/>
        </w:rPr>
        <w:t>VLSI is a client of</w:t>
      </w:r>
      <w:r>
        <w:rPr>
          <w:b w:val="0"/>
          <w:i w:val="0"/>
          <w:smallCaps w:val="0"/>
          <w:strike w:val="0"/>
          <w:u w:val="none"/>
        </w:rPr>
        <w:t xml:space="preserve"> </w:t>
      </w:r>
      <w:r>
        <w:rPr>
          <w:b w:val="0"/>
          <w:i w:val="0"/>
          <w:smallCaps w:val="0"/>
          <w:strike w:val="0"/>
          <w:u w:val="none"/>
        </w:rPr>
        <w:t>Irell</w:t>
      </w:r>
      <w:r>
        <w:rPr>
          <w:b w:val="0"/>
          <w:i w:val="0"/>
          <w:smallCaps w:val="0"/>
          <w:strike w:val="0"/>
          <w:u w:val="none"/>
        </w:rPr>
        <w:t xml:space="preserve"> &amp; Manella, </w:t>
      </w:r>
      <w:r>
        <w:rPr>
          <w:b w:val="0"/>
          <w:i w:val="0"/>
          <w:smallCaps w:val="0"/>
          <w:strike w:val="0"/>
          <w:sz w:val="22"/>
          <w:u w:val="single"/>
        </w:rPr>
        <w:t>the law firm where Iancu was a partner</w:t>
      </w:r>
      <w:r>
        <w:rPr>
          <w:b w:val="0"/>
          <w:i w:val="0"/>
          <w:smallCaps w:val="0"/>
          <w:strike w:val="0"/>
          <w:u w:val="none"/>
        </w:rPr>
        <w:t xml:space="preserve"> before working at USPTO and to which he returned after leaving government. That means </w:t>
      </w:r>
      <w:r>
        <w:rPr>
          <w:b w:val="0"/>
          <w:i w:val="0"/>
          <w:smallCaps w:val="0"/>
          <w:strike w:val="0"/>
          <w:sz w:val="22"/>
          <w:u w:val="single"/>
        </w:rPr>
        <w:t xml:space="preserve">he is entitled to </w:t>
      </w:r>
      <w:r>
        <w:rPr>
          <w:b w:val="0"/>
          <w:i w:val="0"/>
          <w:smallCaps w:val="0"/>
          <w:strike w:val="0"/>
          <w:sz w:val="22"/>
          <w:u w:val="single"/>
        </w:rPr>
        <w:t>Irell’s</w:t>
      </w:r>
      <w:r>
        <w:rPr>
          <w:b w:val="0"/>
          <w:i w:val="0"/>
          <w:smallCaps w:val="0"/>
          <w:strike w:val="0"/>
          <w:sz w:val="22"/>
          <w:u w:val="single"/>
        </w:rPr>
        <w:t xml:space="preserve"> share of the billions it won for VLSI</w:t>
      </w:r>
      <w:r>
        <w:rPr>
          <w:b w:val="0"/>
          <w:i w:val="0"/>
          <w:smallCaps w:val="0"/>
          <w:strike w:val="0"/>
          <w:u w:val="none"/>
        </w:rPr>
        <w:t>—a victory that depended on the PTAB’s decision to deny review under his leadership. VLSI is not some genius inventor either; it is a shell company whose majority owner, an entity called FCO IV, is owned by six investment funds, all managed by the Fortress Investment Group, and whose owners include sovereign wealth funds.</w:t>
      </w:r>
    </w:p>
    <w:p>
      <w:pPr>
        <w:spacing w:after="60"/>
      </w:pPr>
      <w:r>
        <w:rPr>
          <w:b w:val="0"/>
          <w:i w:val="0"/>
          <w:smallCaps w:val="0"/>
          <w:strike w:val="0"/>
          <w:u w:val="none"/>
        </w:rPr>
        <w:t xml:space="preserve">The GAO report reveals the extent of Iancu’s subtle control over the PTAB, particularly </w:t>
      </w:r>
      <w:r>
        <w:rPr>
          <w:b w:val="0"/>
          <w:i w:val="0"/>
          <w:smallCaps w:val="0"/>
          <w:strike w:val="0"/>
          <w:sz w:val="22"/>
          <w:u w:val="single"/>
        </w:rPr>
        <w:t>the</w:t>
      </w:r>
      <w:r>
        <w:rPr>
          <w:b w:val="0"/>
          <w:i w:val="0"/>
          <w:smallCaps w:val="0"/>
          <w:strike w:val="0"/>
          <w:u w:val="none"/>
        </w:rPr>
        <w:t xml:space="preserve"> type of </w:t>
      </w:r>
      <w:r>
        <w:rPr>
          <w:b w:val="0"/>
          <w:i w:val="0"/>
          <w:smallCaps w:val="0"/>
          <w:strike w:val="0"/>
          <w:sz w:val="22"/>
          <w:u w:val="single"/>
        </w:rPr>
        <w:t>denial decision</w:t>
      </w:r>
      <w:r>
        <w:rPr>
          <w:b w:val="0"/>
          <w:i w:val="0"/>
          <w:smallCaps w:val="0"/>
          <w:strike w:val="0"/>
          <w:u w:val="none"/>
        </w:rPr>
        <w:t xml:space="preserve"> that concretely </w:t>
      </w:r>
      <w:r>
        <w:rPr>
          <w:b w:val="0"/>
          <w:i w:val="0"/>
          <w:smallCaps w:val="0"/>
          <w:strike w:val="0"/>
          <w:sz w:val="22"/>
          <w:u w:val="single"/>
        </w:rPr>
        <w:t>benefited Iancu’s</w:t>
      </w:r>
      <w:r>
        <w:rPr>
          <w:b w:val="0"/>
          <w:i w:val="0"/>
          <w:smallCaps w:val="0"/>
          <w:strike w:val="0"/>
          <w:u w:val="none"/>
        </w:rPr>
        <w:t xml:space="preserve"> former and </w:t>
      </w:r>
      <w:r>
        <w:rPr>
          <w:b w:val="0"/>
          <w:i w:val="0"/>
          <w:smallCaps w:val="0"/>
          <w:strike w:val="0"/>
          <w:sz w:val="22"/>
          <w:u w:val="single"/>
        </w:rPr>
        <w:t>current business interests</w:t>
      </w:r>
      <w:r>
        <w:rPr>
          <w:b w:val="0"/>
          <w:i w:val="0"/>
          <w:smallCaps w:val="0"/>
          <w:strike w:val="0"/>
          <w:u w:val="none"/>
        </w:rPr>
        <w:t xml:space="preserve">. At </w:t>
      </w:r>
      <w:r>
        <w:rPr>
          <w:b w:val="0"/>
          <w:i w:val="0"/>
          <w:smallCaps w:val="0"/>
          <w:strike w:val="0"/>
          <w:u w:val="none"/>
        </w:rPr>
        <w:t xml:space="preserve">the very least, </w:t>
      </w:r>
      <w:r>
        <w:rPr>
          <w:b w:val="0"/>
          <w:i w:val="0"/>
          <w:smallCaps w:val="0"/>
          <w:strike w:val="0"/>
          <w:u w:val="none"/>
        </w:rPr>
        <w:t>the fact that</w:t>
      </w:r>
      <w:r>
        <w:rPr>
          <w:b w:val="0"/>
          <w:i w:val="0"/>
          <w:smallCaps w:val="0"/>
          <w:strike w:val="0"/>
          <w:sz w:val="22"/>
          <w:u w:val="single"/>
        </w:rPr>
        <w:t xml:space="preserve"> the former director secretly controlled decisions that materially benefited his law firm</w:t>
      </w:r>
      <w:r>
        <w:rPr>
          <w:b w:val="0"/>
          <w:i w:val="0"/>
          <w:smallCaps w:val="0"/>
          <w:strike w:val="0"/>
          <w:u w:val="none"/>
        </w:rPr>
        <w:t xml:space="preserve"> creates an appearance of impropriety that is corrosive of public trust in the USPTO.</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