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Innovation is high now under current eligibility jurisprudence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David </w:t>
      </w:r>
      <w:r>
        <w:rPr>
          <w:b/>
          <w:i w:val="0"/>
          <w:smallCaps w:val="0"/>
          <w:strike w:val="0"/>
          <w:sz w:val="26"/>
          <w:u w:val="none"/>
        </w:rPr>
        <w:t>Jones,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– executive director of the </w:t>
      </w:r>
      <w:r>
        <w:rPr>
          <w:b w:val="0"/>
          <w:i w:val="0"/>
          <w:smallCaps w:val="0"/>
          <w:strike w:val="0"/>
          <w:u w:val="none"/>
        </w:rPr>
        <w:t>High Tech</w:t>
      </w:r>
      <w:r>
        <w:rPr>
          <w:b w:val="0"/>
          <w:i w:val="0"/>
          <w:smallCaps w:val="0"/>
          <w:strike w:val="0"/>
          <w:u w:val="none"/>
        </w:rPr>
        <w:t xml:space="preserve"> Inventors Alliance. Questions for the Record from Senator Thom Tillis , Hearing on “The Patent Eligibility Restoration Act – Restoring Clarity, Certainty, and Predictability to the U.S. Patent System” 1/24,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a. How has the current state of patent eligibility inhibited the development of next generation technologies?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current state of patent eligibility hasn’t inhibited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development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next gen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nologies.  HTIA member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 the forefront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technologies like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AI and quantum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computing,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largest patent owners in the world, and have experienced no negative effects from the current jurisprudence</w:t>
      </w:r>
      <w:r>
        <w:rPr>
          <w:b w:val="0"/>
          <w:i w:val="0"/>
          <w:smallCaps w:val="0"/>
          <w:strike w:val="0"/>
          <w:u w:val="none"/>
        </w:rPr>
        <w:t xml:space="preserve">.  In fact,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available data </w:t>
      </w:r>
      <w:r>
        <w:rPr>
          <w:b w:val="0"/>
          <w:i w:val="0"/>
          <w:smallCaps w:val="0"/>
          <w:strike w:val="0"/>
          <w:sz w:val="22"/>
          <w:u w:val="single"/>
        </w:rPr>
        <w:t>suggest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current patent eligibility law has advanced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development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next gen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nologies.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b. What is </w:t>
      </w:r>
      <w:r>
        <w:rPr>
          <w:b w:val="0"/>
          <w:i w:val="0"/>
          <w:smallCaps w:val="0"/>
          <w:strike w:val="0"/>
          <w:sz w:val="22"/>
          <w:u w:val="single"/>
        </w:rPr>
        <w:t>the long-term technological and economic impact of the current eligibility jurisprudence</w:t>
      </w:r>
      <w:r>
        <w:rPr>
          <w:b w:val="0"/>
          <w:i w:val="0"/>
          <w:smallCaps w:val="0"/>
          <w:strike w:val="0"/>
          <w:u w:val="none"/>
        </w:rPr>
        <w:t xml:space="preserve">?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Both the long-term technological and economic impacts </w:t>
      </w:r>
      <w:r>
        <w:rPr>
          <w:b w:val="0"/>
          <w:i w:val="0"/>
          <w:smallCaps w:val="0"/>
          <w:strike w:val="0"/>
          <w:sz w:val="22"/>
          <w:u w:val="single"/>
        </w:rPr>
        <w:t>are strongly positive</w:t>
      </w:r>
      <w:r>
        <w:rPr>
          <w:b w:val="0"/>
          <w:i w:val="0"/>
          <w:smallCaps w:val="0"/>
          <w:strike w:val="0"/>
          <w:u w:val="none"/>
        </w:rPr>
        <w:t xml:space="preserve">.  For further discussion, please see my written testimony and my prior testimony to the Subcommittee.1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c. Can you quantify, in </w:t>
      </w:r>
      <w:r>
        <w:rPr>
          <w:b w:val="0"/>
          <w:i w:val="0"/>
          <w:smallCaps w:val="0"/>
          <w:strike w:val="0"/>
          <w:u w:val="none"/>
        </w:rPr>
        <w:t>easy to understand</w:t>
      </w:r>
      <w:r>
        <w:rPr>
          <w:b w:val="0"/>
          <w:i w:val="0"/>
          <w:smallCaps w:val="0"/>
          <w:strike w:val="0"/>
          <w:u w:val="none"/>
        </w:rPr>
        <w:t xml:space="preserve"> terms, the economic impact of the current state of patent eligibility?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 recent study confirmed that there has been “a positive association between Alice and both R&amp;D spending by software firms and patenting by firms that held relatively more software patents prior to the Court’s opinio</w:t>
      </w:r>
      <w:r>
        <w:rPr>
          <w:b w:val="0"/>
          <w:i w:val="0"/>
          <w:smallCaps w:val="0"/>
          <w:strike w:val="0"/>
          <w:u w:val="none"/>
        </w:rPr>
        <w:t>n.”</w:t>
      </w:r>
      <w:r>
        <w:rPr>
          <w:b w:val="0"/>
          <w:i w:val="0"/>
          <w:smallCaps w:val="0"/>
          <w:strike w:val="0"/>
          <w:u w:val="none"/>
        </w:rPr>
        <w:t>2  So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impact has been positive for innovation</w:t>
      </w:r>
      <w:r>
        <w:rPr>
          <w:b w:val="0"/>
          <w:i w:val="0"/>
          <w:smallCaps w:val="0"/>
          <w:strike w:val="0"/>
          <w:sz w:val="22"/>
          <w:u w:val="single"/>
        </w:rPr>
        <w:t>, which is positive for long-term economic growth</w:t>
      </w:r>
      <w:r>
        <w:rPr>
          <w:b w:val="0"/>
          <w:i w:val="0"/>
          <w:smallCaps w:val="0"/>
          <w:strike w:val="0"/>
          <w:u w:val="none"/>
        </w:rPr>
        <w:t xml:space="preserve">. 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