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Limiting judicial exceptions increases patent thickets</w:t>
      </w:r>
    </w:p>
    <w:p>
      <w:pPr>
        <w:spacing w:after="80"/>
      </w:pPr>
      <w:r>
        <w:rPr>
          <w:b w:val="0"/>
          <w:i w:val="0"/>
          <w:smallCaps w:val="0"/>
          <w:strike w:val="0"/>
          <w:u w:val="none"/>
        </w:rPr>
        <w:t xml:space="preserve">Nikola L. </w:t>
      </w:r>
      <w:r>
        <w:rPr>
          <w:b/>
          <w:i w:val="0"/>
          <w:smallCaps w:val="0"/>
          <w:strike w:val="0"/>
          <w:sz w:val="26"/>
          <w:u w:val="none"/>
        </w:rPr>
        <w:t>Datzov</w:t>
      </w:r>
      <w:r>
        <w:rPr>
          <w:b/>
          <w:i w:val="0"/>
          <w:smallCaps w:val="0"/>
          <w:strike w:val="0"/>
          <w:sz w:val="26"/>
          <w:u w:val="none"/>
        </w:rPr>
        <w:t>, 23</w:t>
      </w:r>
      <w:r>
        <w:rPr>
          <w:b w:val="0"/>
          <w:i w:val="0"/>
          <w:smallCaps w:val="0"/>
          <w:strike w:val="0"/>
          <w:u w:val="none"/>
        </w:rPr>
        <w:t xml:space="preserve"> – Assistant Professor of Law, University of North Dakota School of Law. “THE ROLE OF PATENT (IN)ELIGIBILITY IN PROMOTING ARTIFICIAL INTELLIGENCE INNOVATION” 92 UMKC L. Rev. 1 *, Nexis Uni, accessed via University of Michigan //DH</w:t>
      </w:r>
    </w:p>
    <w:p>
      <w:pPr>
        <w:spacing w:after="60"/>
      </w:pPr>
      <w:r>
        <w:rPr>
          <w:b w:val="0"/>
          <w:i w:val="0"/>
          <w:smallCaps w:val="0"/>
          <w:strike w:val="0"/>
          <w:u w:val="none"/>
        </w:rPr>
        <w:t xml:space="preserve">With regard to the balancing test in the context of patent eligibility specifically, </w:t>
      </w:r>
      <w:r>
        <w:rPr>
          <w:b w:val="0"/>
          <w:i w:val="0"/>
          <w:smallCaps w:val="0"/>
          <w:strike w:val="0"/>
          <w:sz w:val="22"/>
          <w:u w:val="single"/>
        </w:rPr>
        <w:t>the primary concern with imposing limits to broad eligibility relates to preemption</w:t>
      </w:r>
      <w:r>
        <w:rPr>
          <w:b w:val="0"/>
          <w:i w:val="0"/>
          <w:smallCaps w:val="0"/>
          <w:strike w:val="0"/>
          <w:u w:val="none"/>
        </w:rPr>
        <w:t xml:space="preserve">.201 </w:t>
      </w:r>
      <w:r>
        <w:rPr>
          <w:b w:val="0"/>
          <w:i w:val="0"/>
          <w:smallCaps w:val="0"/>
          <w:strike w:val="0"/>
          <w:sz w:val="22"/>
          <w:highlight w:val="cyan"/>
          <w:u w:val="single"/>
        </w:rPr>
        <w:t>The three judicial exceptions are "the basic tools of scientific and technological work</w:t>
      </w:r>
      <w:r>
        <w:rPr>
          <w:b w:val="0"/>
          <w:i w:val="0"/>
          <w:smallCaps w:val="0"/>
          <w:strike w:val="0"/>
          <w:u w:val="none"/>
        </w:rPr>
        <w:t xml:space="preserve">."202 </w:t>
      </w:r>
      <w:r>
        <w:rPr>
          <w:b w:val="0"/>
          <w:i w:val="0"/>
          <w:smallCaps w:val="0"/>
          <w:strike w:val="0"/>
          <w:sz w:val="22"/>
          <w:highlight w:val="cyan"/>
          <w:u w:val="single"/>
        </w:rPr>
        <w:t>Allowing single parties to exercise a monopoly over such broad rights would "inhibit further discovery by improperly tying up the future use of[] these building blocks of human ingenuity</w:t>
      </w:r>
      <w:r>
        <w:rPr>
          <w:b w:val="0"/>
          <w:i w:val="0"/>
          <w:smallCaps w:val="0"/>
          <w:strike w:val="0"/>
          <w:u w:val="none"/>
        </w:rPr>
        <w:t>."203 Some empirical evidence specifically analyzing the impact of the Alice decision has found that "</w:t>
      </w:r>
      <w:r>
        <w:rPr>
          <w:b w:val="0"/>
          <w:i w:val="0"/>
          <w:smallCaps w:val="0"/>
          <w:strike w:val="0"/>
          <w:sz w:val="22"/>
          <w:u w:val="single"/>
        </w:rPr>
        <w:t>an overly permissive intellectual property rights system can slow the very growth it was intended to promote</w:t>
      </w:r>
      <w:r>
        <w:rPr>
          <w:b w:val="0"/>
          <w:i w:val="0"/>
          <w:smallCaps w:val="0"/>
          <w:strike w:val="0"/>
          <w:u w:val="none"/>
        </w:rPr>
        <w:t>."204</w:t>
      </w:r>
    </w:p>
    <w:p>
      <w:pPr>
        <w:spacing w:after="60"/>
      </w:pPr>
      <w:r>
        <w:rPr>
          <w:b w:val="0"/>
          <w:i w:val="0"/>
          <w:smallCaps w:val="0"/>
          <w:strike w:val="0"/>
          <w:u w:val="none"/>
        </w:rPr>
        <w:t xml:space="preserve">With these broad principles in mind, there exist conflicting views on the role of patent eligibility in promoting innovation. The theory behind patent subject matter eligibility,205 as well as its criticisms and defenses have been extensively covered.206 Some view a meaningful eligibility threshold as important to prevent broad patent rights that can impede more than promote the progress of "science and the useful arts."207 </w:t>
      </w:r>
      <w:r>
        <w:rPr>
          <w:b w:val="0"/>
          <w:i w:val="0"/>
          <w:smallCaps w:val="0"/>
          <w:strike w:val="0"/>
          <w:sz w:val="22"/>
          <w:highlight w:val="cyan"/>
          <w:u w:val="single"/>
        </w:rPr>
        <w:t>The proliferation of an astronomical number of software patents creates patent thickets that can make it incredibly difficult (and expensive</w:t>
      </w:r>
      <w:r>
        <w:rPr>
          <w:b w:val="0"/>
          <w:i w:val="0"/>
          <w:smallCaps w:val="0"/>
          <w:strike w:val="0"/>
          <w:u w:val="none"/>
        </w:rPr>
        <w:t xml:space="preserve">) [*35] </w:t>
      </w:r>
      <w:r>
        <w:rPr>
          <w:b w:val="0"/>
          <w:i w:val="0"/>
          <w:smallCaps w:val="0"/>
          <w:strike w:val="0"/>
          <w:sz w:val="22"/>
          <w:highlight w:val="cyan"/>
          <w:u w:val="single"/>
        </w:rPr>
        <w:t>to facilitate</w:t>
      </w:r>
      <w:r>
        <w:rPr>
          <w:b w:val="0"/>
          <w:i w:val="0"/>
          <w:smallCaps w:val="0"/>
          <w:strike w:val="0"/>
          <w:sz w:val="22"/>
          <w:u w:val="single"/>
        </w:rPr>
        <w:t xml:space="preserve"> the incremental </w:t>
      </w:r>
      <w:r>
        <w:rPr>
          <w:b w:val="0"/>
          <w:i w:val="0"/>
          <w:smallCaps w:val="0"/>
          <w:strike w:val="0"/>
          <w:sz w:val="22"/>
          <w:highlight w:val="cyan"/>
          <w:u w:val="single"/>
        </w:rPr>
        <w:t>innovation</w:t>
      </w:r>
      <w:r>
        <w:rPr>
          <w:b w:val="0"/>
          <w:i w:val="0"/>
          <w:smallCaps w:val="0"/>
          <w:strike w:val="0"/>
          <w:u w:val="none"/>
        </w:rPr>
        <w:t xml:space="preserve"> common in the industry.208 As a classic example, Professor Mark </w:t>
      </w:r>
      <w:r>
        <w:rPr>
          <w:b w:val="0"/>
          <w:i w:val="0"/>
          <w:smallCaps w:val="0"/>
          <w:strike w:val="0"/>
          <w:sz w:val="22"/>
          <w:highlight w:val="cyan"/>
          <w:u w:val="single"/>
        </w:rPr>
        <w:t>Lemley cites</w:t>
      </w:r>
      <w:r>
        <w:rPr>
          <w:b w:val="0"/>
          <w:i w:val="0"/>
          <w:smallCaps w:val="0"/>
          <w:strike w:val="0"/>
          <w:sz w:val="22"/>
          <w:u w:val="single"/>
        </w:rPr>
        <w:t xml:space="preserve"> to </w:t>
      </w:r>
      <w:r>
        <w:rPr>
          <w:b w:val="0"/>
          <w:i w:val="0"/>
          <w:smallCaps w:val="0"/>
          <w:strike w:val="0"/>
          <w:sz w:val="22"/>
          <w:highlight w:val="cyan"/>
          <w:u w:val="single"/>
        </w:rPr>
        <w:t xml:space="preserve">the Wright Brothers' broad patent written in functional language that </w:t>
      </w:r>
      <w:r>
        <w:rPr>
          <w:b/>
          <w:i w:val="0"/>
          <w:smallCaps w:val="0"/>
          <w:strike w:val="0"/>
          <w:sz w:val="22"/>
          <w:highlight w:val="cyan"/>
          <w:u w:val="single"/>
        </w:rPr>
        <w:t>stalled innovation in flight</w:t>
      </w:r>
      <w:r>
        <w:rPr>
          <w:b w:val="0"/>
          <w:i w:val="0"/>
          <w:smallCaps w:val="0"/>
          <w:strike w:val="0"/>
          <w:sz w:val="22"/>
          <w:highlight w:val="cyan"/>
          <w:u w:val="single"/>
        </w:rPr>
        <w:t xml:space="preserve"> for many years</w:t>
      </w:r>
      <w:r>
        <w:rPr>
          <w:b w:val="0"/>
          <w:i w:val="0"/>
          <w:smallCaps w:val="0"/>
          <w:strike w:val="0"/>
          <w:u w:val="none"/>
        </w:rPr>
        <w:t>.209</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