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Biotech patents have </w:t>
      </w:r>
      <w:r>
        <w:rPr>
          <w:b/>
          <w:i w:val="0"/>
          <w:smallCaps w:val="0"/>
          <w:strike w:val="0"/>
          <w:sz w:val="26"/>
          <w:u w:val="single"/>
        </w:rPr>
        <w:t>no effect</w:t>
      </w:r>
      <w:r>
        <w:rPr>
          <w:b/>
          <w:i w:val="0"/>
          <w:smallCaps w:val="0"/>
          <w:strike w:val="0"/>
          <w:sz w:val="26"/>
          <w:u w:val="none"/>
        </w:rPr>
        <w:t xml:space="preserve"> on investment – prefer our evidence, it’s based on the only study that establishes causality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James </w:t>
      </w:r>
      <w:r>
        <w:rPr>
          <w:b/>
          <w:i w:val="0"/>
          <w:smallCaps w:val="0"/>
          <w:strike w:val="0"/>
          <w:sz w:val="26"/>
          <w:u w:val="none"/>
        </w:rPr>
        <w:t>Hicks,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- Academic Fellow, Columbia Law School “DO PATENTS DRIVE INVESTMENT IN SOFTWARE?” Northwestern University Law Review, v.118, n.5,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C. The Holy Grail: Causality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Of the quantitative studies exploring the relationship between patents and finance, only one can claim to truly isolate the causal effect of a patent grant on investment.</w:t>
      </w:r>
      <w:r>
        <w:rPr>
          <w:b w:val="0"/>
          <w:i w:val="0"/>
          <w:smallCaps w:val="0"/>
          <w:strike w:val="0"/>
          <w:u w:val="none"/>
        </w:rPr>
        <w:t xml:space="preserve"> Professors Joan </w:t>
      </w:r>
      <w:r>
        <w:rPr>
          <w:b w:val="0"/>
          <w:i w:val="0"/>
          <w:smallCaps w:val="0"/>
          <w:strike w:val="0"/>
          <w:sz w:val="22"/>
          <w:u w:val="single"/>
        </w:rPr>
        <w:t>Farre‐Mensa</w:t>
      </w:r>
      <w:r>
        <w:rPr>
          <w:b w:val="0"/>
          <w:i w:val="0"/>
          <w:smallCaps w:val="0"/>
          <w:strike w:val="0"/>
          <w:u w:val="none"/>
        </w:rPr>
        <w:t xml:space="preserve">, Deepak Hegde, and Alexander Ljungqvist </w:t>
      </w:r>
      <w:r>
        <w:rPr>
          <w:b w:val="0"/>
          <w:i w:val="0"/>
          <w:smallCaps w:val="0"/>
          <w:strike w:val="0"/>
          <w:sz w:val="22"/>
          <w:u w:val="single"/>
        </w:rPr>
        <w:t>leverage the fact that PTO examiners</w:t>
      </w:r>
      <w:r>
        <w:rPr>
          <w:b w:val="0"/>
          <w:i w:val="0"/>
          <w:smallCaps w:val="0"/>
          <w:strike w:val="0"/>
          <w:u w:val="none"/>
        </w:rPr>
        <w:t xml:space="preserve">, who are (or used to be) randomly assigned to review applications, </w:t>
      </w:r>
      <w:r>
        <w:rPr>
          <w:b w:val="0"/>
          <w:i w:val="0"/>
          <w:smallCaps w:val="0"/>
          <w:strike w:val="0"/>
          <w:sz w:val="22"/>
          <w:u w:val="single"/>
        </w:rPr>
        <w:t>vary dramatically in their propensity to grant patents</w:t>
      </w:r>
      <w:r>
        <w:rPr>
          <w:b w:val="0"/>
          <w:i w:val="0"/>
          <w:smallCaps w:val="0"/>
          <w:strike w:val="0"/>
          <w:u w:val="none"/>
        </w:rPr>
        <w:t xml:space="preserve">.85 This introduces some external variation—in other words, variation that is unrelated to the applicant or the invention— into the application outcomes. (Intuitively, if you draw a lenient examiner, you’re more likely to receive a patent than an applicant with an otherwise identical invention who is assigned to a much tougher one.)86 </w:t>
      </w:r>
      <w:r>
        <w:rPr>
          <w:b w:val="0"/>
          <w:i w:val="0"/>
          <w:smallCaps w:val="0"/>
          <w:strike w:val="0"/>
          <w:sz w:val="22"/>
          <w:u w:val="single"/>
        </w:rPr>
        <w:t>The authors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track subsequent funding outcomes and find that a patent grant causes a 50% increase in the likelihood of attracting early-stage investment</w:t>
      </w:r>
      <w:r>
        <w:rPr>
          <w:b w:val="0"/>
          <w:i w:val="0"/>
          <w:smallCaps w:val="0"/>
          <w:strike w:val="0"/>
          <w:u w:val="none"/>
        </w:rPr>
        <w:t xml:space="preserve"> over the five years following the first PTO action, as well as an increase in the likelihood of a subsequent IPO.87 More striking still, </w:t>
      </w:r>
      <w:r>
        <w:rPr>
          <w:b w:val="0"/>
          <w:i w:val="0"/>
          <w:smallCaps w:val="0"/>
          <w:strike w:val="0"/>
          <w:sz w:val="22"/>
          <w:u w:val="single"/>
        </w:rPr>
        <w:t>the authors explore the variation across industries and find that the impact of a patent grant is stronger in</w:t>
      </w:r>
      <w:r>
        <w:rPr>
          <w:b w:val="0"/>
          <w:i w:val="0"/>
          <w:smallCaps w:val="0"/>
          <w:strike w:val="0"/>
          <w:u w:val="none"/>
        </w:rPr>
        <w:t xml:space="preserve"> information technology (</w:t>
      </w:r>
      <w:r>
        <w:rPr>
          <w:b w:val="0"/>
          <w:i w:val="0"/>
          <w:smallCaps w:val="0"/>
          <w:strike w:val="0"/>
          <w:sz w:val="22"/>
          <w:u w:val="single"/>
        </w:rPr>
        <w:t>IT) than other industries</w:t>
      </w:r>
      <w:r>
        <w:rPr>
          <w:b w:val="0"/>
          <w:i w:val="0"/>
          <w:smallCaps w:val="0"/>
          <w:strike w:val="0"/>
          <w:u w:val="none"/>
        </w:rPr>
        <w:t xml:space="preserve">.88 (Though for present purposes, it’s important to note that the authors do not count </w:t>
      </w:r>
      <w:r>
        <w:rPr>
          <w:b w:val="0"/>
          <w:i w:val="0"/>
          <w:smallCaps w:val="0"/>
          <w:strike w:val="0"/>
          <w:u w:val="none"/>
        </w:rPr>
        <w:t>businessmethods</w:t>
      </w:r>
      <w:r>
        <w:rPr>
          <w:b w:val="0"/>
          <w:i w:val="0"/>
          <w:smallCaps w:val="0"/>
          <w:strike w:val="0"/>
          <w:u w:val="none"/>
        </w:rPr>
        <w:t xml:space="preserve"> software as part of their “IT” category, instead combining it with “other industries.”) For IT patents, the first patent grant doubles the likelihood of receiving investment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whereas for biochemistry, the effect is </w:t>
      </w:r>
      <w:r>
        <w:rPr>
          <w:b/>
          <w:i w:val="0"/>
          <w:smallCaps w:val="0"/>
          <w:strike w:val="0"/>
          <w:sz w:val="22"/>
          <w:u w:val="single"/>
        </w:rPr>
        <w:t>not significantly different from zero</w:t>
      </w:r>
      <w:r>
        <w:rPr>
          <w:b w:val="0"/>
          <w:i w:val="0"/>
          <w:smallCaps w:val="0"/>
          <w:strike w:val="0"/>
          <w:u w:val="none"/>
        </w:rPr>
        <w:t xml:space="preserve">.89 </w:t>
      </w:r>
      <w:r>
        <w:rPr>
          <w:b w:val="0"/>
          <w:i w:val="0"/>
          <w:smallCaps w:val="0"/>
          <w:strike w:val="0"/>
          <w:sz w:val="22"/>
          <w:u w:val="single"/>
        </w:rPr>
        <w:t>This</w:t>
      </w:r>
      <w:r>
        <w:rPr>
          <w:b w:val="0"/>
          <w:i w:val="0"/>
          <w:smallCaps w:val="0"/>
          <w:strike w:val="0"/>
          <w:u w:val="none"/>
        </w:rPr>
        <w:t xml:space="preserve"> last result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</w:t>
      </w:r>
      <w:r>
        <w:rPr>
          <w:b w:val="0"/>
          <w:i w:val="0"/>
          <w:smallCaps w:val="0"/>
          <w:strike w:val="0"/>
          <w:u w:val="none"/>
        </w:rPr>
        <w:t xml:space="preserve">quite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surprising </w:t>
      </w:r>
      <w:r>
        <w:rPr>
          <w:b w:val="0"/>
          <w:i w:val="0"/>
          <w:smallCaps w:val="0"/>
          <w:strike w:val="0"/>
          <w:sz w:val="22"/>
          <w:u w:val="single"/>
        </w:rPr>
        <w:t>in light of</w:t>
      </w:r>
      <w:r>
        <w:rPr>
          <w:b w:val="0"/>
          <w:i w:val="0"/>
          <w:smallCaps w:val="0"/>
          <w:strike w:val="0"/>
          <w:u w:val="none"/>
        </w:rPr>
        <w:t xml:space="preserve"> both the findings in the survey literature and the </w:t>
      </w:r>
      <w:r>
        <w:rPr>
          <w:b w:val="0"/>
          <w:i w:val="0"/>
          <w:smallCaps w:val="0"/>
          <w:strike w:val="0"/>
          <w:sz w:val="22"/>
          <w:u w:val="single"/>
        </w:rPr>
        <w:t>conventional wisdom amongst</w:t>
      </w:r>
      <w:r>
        <w:rPr>
          <w:b w:val="0"/>
          <w:i w:val="0"/>
          <w:smallCaps w:val="0"/>
          <w:strike w:val="0"/>
          <w:u w:val="none"/>
        </w:rPr>
        <w:t xml:space="preserve"> many </w:t>
      </w:r>
      <w:r>
        <w:rPr>
          <w:b w:val="0"/>
          <w:i w:val="0"/>
          <w:smallCaps w:val="0"/>
          <w:strike w:val="0"/>
          <w:sz w:val="22"/>
          <w:u w:val="single"/>
        </w:rPr>
        <w:t>commentators that biotechnology is a particularly important site of patent protection</w:t>
      </w:r>
      <w:r>
        <w:rPr>
          <w:b w:val="0"/>
          <w:i w:val="0"/>
          <w:smallCaps w:val="0"/>
          <w:strike w:val="0"/>
          <w:u w:val="none"/>
        </w:rPr>
        <w:t>.90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