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4"/>
        <w:spacing w:after="60"/>
      </w:pPr>
      <w:r>
        <w:rPr>
          <w:b/>
          <w:i w:val="0"/>
          <w:smallCaps w:val="0"/>
          <w:strike w:val="0"/>
          <w:sz w:val="26"/>
          <w:u w:val="none"/>
        </w:rPr>
        <w:t>First mover advantage provides competitive benefits even without patents</w:t>
      </w:r>
    </w:p>
    <w:p>
      <w:pPr>
        <w:spacing w:after="80"/>
      </w:pPr>
      <w:r>
        <w:rPr>
          <w:b w:val="0"/>
          <w:i w:val="0"/>
          <w:smallCaps w:val="0"/>
          <w:strike w:val="0"/>
          <w:u w:val="none"/>
        </w:rPr>
        <w:t xml:space="preserve">Dean </w:t>
      </w:r>
      <w:r>
        <w:rPr>
          <w:b/>
          <w:i w:val="0"/>
          <w:smallCaps w:val="0"/>
          <w:strike w:val="0"/>
          <w:sz w:val="26"/>
          <w:u w:val="none"/>
        </w:rPr>
        <w:t xml:space="preserve">Baker </w:t>
      </w:r>
      <w:r>
        <w:rPr>
          <w:b w:val="0"/>
          <w:i w:val="0"/>
          <w:smallCaps w:val="0"/>
          <w:strike w:val="0"/>
          <w:u w:val="none"/>
        </w:rPr>
        <w:t>et al, 20</w:t>
      </w:r>
      <w:r>
        <w:rPr>
          <w:b/>
          <w:i w:val="0"/>
          <w:smallCaps w:val="0"/>
          <w:strike w:val="0"/>
          <w:sz w:val="26"/>
          <w:u w:val="none"/>
        </w:rPr>
        <w:t>17</w:t>
      </w:r>
      <w:r>
        <w:rPr>
          <w:b w:val="0"/>
          <w:i w:val="0"/>
          <w:smallCaps w:val="0"/>
          <w:strike w:val="0"/>
          <w:u w:val="none"/>
        </w:rPr>
        <w:t xml:space="preserve"> - co-director of the Center for Economic and Policy Research in Washington “Innovation, Intellectual Property, and Development: A BETTER SET OF APPROACHES FOR THE 21st CENTURY.” </w:t>
      </w:r>
      <w:r>
        <w:rPr>
          <w:b w:val="0"/>
          <w:i w:val="0"/>
          <w:smallCaps w:val="0"/>
          <w:strike w:val="0"/>
          <w:u w:val="none"/>
        </w:rPr>
        <w:t xml:space="preserve"> //DH</w:t>
      </w:r>
    </w:p>
    <w:p>
      <w:pPr>
        <w:spacing w:after="60"/>
      </w:pPr>
      <w:r>
        <w:rPr>
          <w:b w:val="0"/>
          <w:i w:val="0"/>
          <w:smallCaps w:val="0"/>
          <w:strike w:val="0"/>
          <w:u w:val="none"/>
        </w:rPr>
        <w:t xml:space="preserve">Indeed, there are some who suggest that </w:t>
      </w:r>
      <w:r>
        <w:rPr>
          <w:b w:val="0"/>
          <w:i w:val="0"/>
          <w:smallCaps w:val="0"/>
          <w:strike w:val="0"/>
          <w:sz w:val="22"/>
          <w:u w:val="single"/>
        </w:rPr>
        <w:t>the marginal cost of any patent protection exceeds the marginal benefit,</w:t>
      </w:r>
      <w:r>
        <w:rPr>
          <w:b w:val="0"/>
          <w:i w:val="0"/>
          <w:smallCaps w:val="0"/>
          <w:strike w:val="0"/>
          <w:u w:val="none"/>
        </w:rPr>
        <w:t xml:space="preserve"> at least in many industries. </w:t>
      </w:r>
      <w:r>
        <w:rPr>
          <w:b w:val="0"/>
          <w:i w:val="0"/>
          <w:smallCaps w:val="0"/>
          <w:strike w:val="0"/>
          <w:sz w:val="22"/>
          <w:u w:val="single"/>
        </w:rPr>
        <w:t>The</w:t>
      </w:r>
      <w:r>
        <w:rPr>
          <w:b w:val="0"/>
          <w:i w:val="0"/>
          <w:smallCaps w:val="0"/>
          <w:strike w:val="0"/>
          <w:u w:val="none"/>
        </w:rPr>
        <w:t xml:space="preserve"> earlier </w:t>
      </w:r>
      <w:r>
        <w:rPr>
          <w:b w:val="0"/>
          <w:i w:val="0"/>
          <w:smallCaps w:val="0"/>
          <w:strike w:val="0"/>
          <w:sz w:val="22"/>
          <w:u w:val="single"/>
        </w:rPr>
        <w:t>analysis which said that without patent protection firms would have no way of appropriating returns to innovative activity oversimplified the issue</w:t>
      </w:r>
      <w:r>
        <w:rPr>
          <w:b w:val="0"/>
          <w:i w:val="0"/>
          <w:smallCaps w:val="0"/>
          <w:strike w:val="0"/>
          <w:u w:val="none"/>
        </w:rPr>
        <w:t xml:space="preserve"> in many critical ways. </w:t>
      </w:r>
      <w:r>
        <w:rPr>
          <w:b w:val="0"/>
          <w:i w:val="0"/>
          <w:smallCaps w:val="0"/>
          <w:strike w:val="0"/>
          <w:sz w:val="22"/>
          <w:u w:val="single"/>
        </w:rPr>
        <w:t>The first mover</w:t>
      </w:r>
      <w:r>
        <w:rPr>
          <w:b w:val="0"/>
          <w:i w:val="0"/>
          <w:smallCaps w:val="0"/>
          <w:strike w:val="0"/>
          <w:u w:val="none"/>
        </w:rPr>
        <w:t xml:space="preserve"> - the inventor of a new product - </w:t>
      </w:r>
      <w:r>
        <w:rPr>
          <w:b w:val="0"/>
          <w:i w:val="0"/>
          <w:smallCaps w:val="0"/>
          <w:strike w:val="0"/>
          <w:u w:val="none"/>
        </w:rPr>
        <w:t>has distinct advantages over successors</w:t>
      </w:r>
      <w:r>
        <w:rPr>
          <w:b w:val="0"/>
          <w:i w:val="0"/>
          <w:smallCaps w:val="0"/>
          <w:strike w:val="0"/>
          <w:u w:val="none"/>
        </w:rPr>
        <w:t xml:space="preserve">. He </w:t>
      </w:r>
      <w:r>
        <w:rPr>
          <w:b w:val="0"/>
          <w:i w:val="0"/>
          <w:smallCaps w:val="0"/>
          <w:strike w:val="0"/>
          <w:sz w:val="22"/>
          <w:u w:val="single"/>
        </w:rPr>
        <w:t>can move down the learning curve, producing at a lower cost or refining the product in ways that make it more attractive to customers</w:t>
      </w:r>
      <w:r>
        <w:rPr>
          <w:b w:val="0"/>
          <w:i w:val="0"/>
          <w:smallCaps w:val="0"/>
          <w:strike w:val="0"/>
          <w:u w:val="none"/>
        </w:rPr>
        <w:t xml:space="preserve">. Though there may be </w:t>
      </w:r>
      <w:r>
        <w:rPr>
          <w:b w:val="0"/>
          <w:i w:val="0"/>
          <w:smallCaps w:val="0"/>
          <w:strike w:val="0"/>
          <w:sz w:val="22"/>
          <w:u w:val="single"/>
        </w:rPr>
        <w:t>instances of ‘leapfrogging’</w:t>
      </w:r>
      <w:r>
        <w:rPr>
          <w:b w:val="0"/>
          <w:i w:val="0"/>
          <w:smallCaps w:val="0"/>
          <w:strike w:val="0"/>
          <w:u w:val="none"/>
        </w:rPr>
        <w:t xml:space="preserve">, where a new entrant leapfrogs the first entrant, these </w:t>
      </w:r>
      <w:r>
        <w:rPr>
          <w:b w:val="0"/>
          <w:i w:val="0"/>
          <w:smallCaps w:val="0"/>
          <w:strike w:val="0"/>
          <w:sz w:val="22"/>
          <w:u w:val="single"/>
        </w:rPr>
        <w:t>are rare, and noteworthy because they happen so seldom</w:t>
      </w:r>
      <w:r>
        <w:rPr>
          <w:b w:val="0"/>
          <w:i w:val="0"/>
          <w:smallCaps w:val="0"/>
          <w:strike w:val="0"/>
          <w:u w:val="none"/>
        </w:rPr>
        <w:t xml:space="preserve">. </w:t>
      </w:r>
      <w:r>
        <w:rPr>
          <w:b w:val="0"/>
          <w:i w:val="0"/>
          <w:smallCaps w:val="0"/>
          <w:strike w:val="0"/>
          <w:sz w:val="22"/>
          <w:u w:val="single"/>
        </w:rPr>
        <w:t>In some industries, the costs of patenting</w:t>
      </w:r>
      <w:r>
        <w:rPr>
          <w:b w:val="0"/>
          <w:i w:val="0"/>
          <w:smallCaps w:val="0"/>
          <w:strike w:val="0"/>
          <w:u w:val="none"/>
        </w:rPr>
        <w:t xml:space="preserve"> (including that associated with the disclosure requirements, which provides valuable information to rivals) </w:t>
      </w:r>
      <w:r>
        <w:rPr>
          <w:b w:val="0"/>
          <w:i w:val="0"/>
          <w:smallCaps w:val="0"/>
          <w:strike w:val="0"/>
          <w:sz w:val="22"/>
          <w:u w:val="single"/>
        </w:rPr>
        <w:t>exceed the benefits. These industries rely on trade secrets</w:t>
      </w:r>
      <w:r>
        <w:rPr>
          <w:b w:val="0"/>
          <w:i w:val="0"/>
          <w:smallCaps w:val="0"/>
          <w:strike w:val="0"/>
          <w:u w:val="none"/>
        </w:rPr>
        <w:t>. (</w:t>
      </w:r>
      <w:r>
        <w:rPr>
          <w:b w:val="0"/>
          <w:i w:val="0"/>
          <w:smallCaps w:val="0"/>
          <w:strike w:val="0"/>
          <w:u w:val="none"/>
        </w:rPr>
        <w:t>Dosi</w:t>
      </w:r>
      <w:r>
        <w:rPr>
          <w:b w:val="0"/>
          <w:i w:val="0"/>
          <w:smallCaps w:val="0"/>
          <w:strike w:val="0"/>
          <w:u w:val="none"/>
        </w:rPr>
        <w:t xml:space="preserve"> and Stiglitz, </w:t>
      </w:r>
      <w:r>
        <w:rPr>
          <w:b w:val="0"/>
          <w:i w:val="0"/>
          <w:smallCaps w:val="0"/>
          <w:strike w:val="0"/>
          <w:u w:val="none"/>
        </w:rPr>
        <w:t>201438 )</w:t>
      </w:r>
    </w:p>
    <w:p>
      <w:pPr>
        <w:pStyle w:val="Caption"/>
      </w:pPr>
      <w:r>
        <w:t>Source: Patent Eligibility Neg - Michigan 2024 STARTER · Michigan · 2024</w:t>
      </w:r>
    </w:p>
    <w:sectPr w:rsidR="00FC693F" w:rsidRPr="0006063C" w:rsidSect="00034616">
      <w:pgSz w:w="12240" w:h="15840"/>
      <w:pgMar w:top="720" w:right="840" w:bottom="720" w:left="8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