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cause deadweight loss from monopoly pricing</w:t>
      </w:r>
    </w:p>
    <w:p>
      <w:pPr>
        <w:spacing w:after="80"/>
      </w:pPr>
      <w:r>
        <w:rPr>
          <w:b w:val="0"/>
          <w:i w:val="0"/>
          <w:smallCaps w:val="0"/>
          <w:strike w:val="0"/>
          <w:u w:val="none"/>
        </w:rPr>
        <w:t xml:space="preserve">Anthony E. </w:t>
      </w:r>
      <w:r>
        <w:rPr>
          <w:b/>
          <w:i w:val="0"/>
          <w:smallCaps w:val="0"/>
          <w:strike w:val="0"/>
          <w:sz w:val="26"/>
          <w:u w:val="none"/>
        </w:rPr>
        <w:t>Chavez,</w:t>
      </w:r>
      <w:r>
        <w:rPr>
          <w:b w:val="0"/>
          <w:i w:val="0"/>
          <w:smallCaps w:val="0"/>
          <w:strike w:val="0"/>
          <w:u w:val="none"/>
        </w:rPr>
        <w:t xml:space="preserve"> 20</w:t>
      </w:r>
      <w:r>
        <w:rPr>
          <w:b/>
          <w:i w:val="0"/>
          <w:smallCaps w:val="0"/>
          <w:strike w:val="0"/>
          <w:sz w:val="26"/>
          <w:u w:val="none"/>
        </w:rPr>
        <w:t>21</w:t>
      </w:r>
      <w:r>
        <w:rPr>
          <w:b w:val="0"/>
          <w:i w:val="0"/>
          <w:smallCaps w:val="0"/>
          <w:strike w:val="0"/>
          <w:u w:val="none"/>
        </w:rPr>
        <w:t xml:space="preserve"> - Professor of Law, Chase College of Law, Northern Kentucky University “Turning Carbon </w:t>
      </w:r>
      <w:r>
        <w:rPr>
          <w:b w:val="0"/>
          <w:i w:val="0"/>
          <w:smallCaps w:val="0"/>
          <w:strike w:val="0"/>
          <w:u w:val="none"/>
        </w:rPr>
        <w:t>Into</w:t>
      </w:r>
      <w:r>
        <w:rPr>
          <w:b w:val="0"/>
          <w:i w:val="0"/>
          <w:smallCaps w:val="0"/>
          <w:strike w:val="0"/>
          <w:u w:val="none"/>
        </w:rPr>
        <w:t xml:space="preserve"> Gold: Incentivizing The New Alchemy” 32 Duke </w:t>
      </w:r>
      <w:r>
        <w:rPr>
          <w:b w:val="0"/>
          <w:i w:val="0"/>
          <w:smallCaps w:val="0"/>
          <w:strike w:val="0"/>
          <w:u w:val="none"/>
        </w:rPr>
        <w:t>Envtl</w:t>
      </w:r>
      <w:r>
        <w:rPr>
          <w:b w:val="0"/>
          <w:i w:val="0"/>
          <w:smallCaps w:val="0"/>
          <w:strike w:val="0"/>
          <w:u w:val="none"/>
        </w:rPr>
        <w:t xml:space="preserve">. L. &amp; </w:t>
      </w:r>
      <w:r>
        <w:rPr>
          <w:b w:val="0"/>
          <w:i w:val="0"/>
          <w:smallCaps w:val="0"/>
          <w:strike w:val="0"/>
          <w:u w:val="none"/>
        </w:rPr>
        <w:t>Pol'y</w:t>
      </w:r>
      <w:r>
        <w:rPr>
          <w:b w:val="0"/>
          <w:i w:val="0"/>
          <w:smallCaps w:val="0"/>
          <w:strike w:val="0"/>
          <w:u w:val="none"/>
        </w:rPr>
        <w:t xml:space="preserve"> F. 1 *, Nexis Uni, Accessed via University of Michigan //DH</w:t>
      </w:r>
    </w:p>
    <w:p>
      <w:pPr>
        <w:spacing w:after="60"/>
      </w:pPr>
      <w:r>
        <w:rPr>
          <w:b w:val="0"/>
          <w:i w:val="0"/>
          <w:smallCaps w:val="0"/>
          <w:strike w:val="0"/>
          <w:u w:val="none"/>
        </w:rPr>
        <w:t xml:space="preserve">Despite the distinct benefits of the patent system, scholars have identified </w:t>
      </w:r>
      <w:r>
        <w:rPr>
          <w:b w:val="0"/>
          <w:i w:val="0"/>
          <w:smallCaps w:val="0"/>
          <w:strike w:val="0"/>
          <w:u w:val="none"/>
        </w:rPr>
        <w:t>a number of</w:t>
      </w:r>
      <w:r>
        <w:rPr>
          <w:b w:val="0"/>
          <w:i w:val="0"/>
          <w:smallCaps w:val="0"/>
          <w:strike w:val="0"/>
          <w:u w:val="none"/>
        </w:rPr>
        <w:t xml:space="preserve"> problems with it. The </w:t>
      </w:r>
      <w:r>
        <w:rPr>
          <w:b w:val="0"/>
          <w:i w:val="0"/>
          <w:smallCaps w:val="0"/>
          <w:strike w:val="0"/>
          <w:u w:val="none"/>
        </w:rPr>
        <w:t>principle</w:t>
      </w:r>
      <w:r>
        <w:rPr>
          <w:b w:val="0"/>
          <w:i w:val="0"/>
          <w:smallCaps w:val="0"/>
          <w:strike w:val="0"/>
          <w:u w:val="none"/>
        </w:rPr>
        <w:t xml:space="preserve"> concern--</w:t>
      </w:r>
      <w:r>
        <w:rPr>
          <w:b w:val="0"/>
          <w:i w:val="0"/>
          <w:smallCaps w:val="0"/>
          <w:strike w:val="0"/>
          <w:sz w:val="22"/>
          <w:u w:val="single"/>
        </w:rPr>
        <w:t>deadweight loss--results from</w:t>
      </w:r>
      <w:r>
        <w:rPr>
          <w:b w:val="0"/>
          <w:i w:val="0"/>
          <w:smallCaps w:val="0"/>
          <w:strike w:val="0"/>
          <w:u w:val="none"/>
        </w:rPr>
        <w:t xml:space="preserve"> one of its strengths, </w:t>
      </w:r>
      <w:r>
        <w:rPr>
          <w:b w:val="0"/>
          <w:i w:val="0"/>
          <w:smallCaps w:val="0"/>
          <w:strike w:val="0"/>
          <w:sz w:val="22"/>
          <w:u w:val="single"/>
        </w:rPr>
        <w:t>the right to exclusion</w:t>
      </w:r>
      <w:r>
        <w:rPr>
          <w:b w:val="0"/>
          <w:i w:val="0"/>
          <w:smallCaps w:val="0"/>
          <w:strike w:val="0"/>
          <w:u w:val="none"/>
        </w:rPr>
        <w:t xml:space="preserve">. </w:t>
      </w:r>
      <w:r>
        <w:rPr>
          <w:b w:val="0"/>
          <w:i w:val="0"/>
          <w:smallCaps w:val="0"/>
          <w:strike w:val="0"/>
          <w:sz w:val="22"/>
          <w:u w:val="single"/>
        </w:rPr>
        <w:t>Exclusion creates artificial scarcity.</w:t>
      </w:r>
      <w:r>
        <w:rPr>
          <w:b w:val="0"/>
          <w:i w:val="0"/>
          <w:smallCaps w:val="0"/>
          <w:strike w:val="0"/>
          <w:u w:val="none"/>
        </w:rPr>
        <w:t xml:space="preserve"> 162 </w:t>
      </w:r>
      <w:r>
        <w:rPr>
          <w:b w:val="0"/>
          <w:i w:val="0"/>
          <w:smallCaps w:val="0"/>
          <w:strike w:val="0"/>
          <w:sz w:val="22"/>
          <w:u w:val="single"/>
        </w:rPr>
        <w:t>Deadweight loss results as competitors, who could drive down prices, are restricted by higher prices</w:t>
      </w:r>
      <w:r>
        <w:rPr>
          <w:b w:val="0"/>
          <w:i w:val="0"/>
          <w:smallCaps w:val="0"/>
          <w:strike w:val="0"/>
          <w:u w:val="none"/>
        </w:rPr>
        <w:t xml:space="preserve">. 163 Such </w:t>
      </w:r>
      <w:r>
        <w:rPr>
          <w:b w:val="0"/>
          <w:i w:val="0"/>
          <w:smallCaps w:val="0"/>
          <w:strike w:val="0"/>
          <w:sz w:val="22"/>
          <w:u w:val="single"/>
        </w:rPr>
        <w:t>monopoly pricing</w:t>
      </w:r>
      <w:r>
        <w:rPr>
          <w:b w:val="0"/>
          <w:i w:val="0"/>
          <w:smallCaps w:val="0"/>
          <w:strike w:val="0"/>
          <w:u w:val="none"/>
        </w:rPr>
        <w:t xml:space="preserve"> </w:t>
      </w:r>
      <w:r>
        <w:rPr>
          <w:b w:val="0"/>
          <w:i w:val="0"/>
          <w:smallCaps w:val="0"/>
          <w:strike w:val="0"/>
          <w:u w:val="none"/>
        </w:rPr>
        <w:t>opportunites</w:t>
      </w:r>
      <w:r>
        <w:rPr>
          <w:b w:val="0"/>
          <w:i w:val="0"/>
          <w:smallCaps w:val="0"/>
          <w:strike w:val="0"/>
          <w:u w:val="none"/>
        </w:rPr>
        <w:t xml:space="preserve"> </w:t>
      </w:r>
      <w:r>
        <w:rPr>
          <w:b w:val="0"/>
          <w:i w:val="0"/>
          <w:smallCaps w:val="0"/>
          <w:strike w:val="0"/>
          <w:sz w:val="22"/>
          <w:u w:val="single"/>
        </w:rPr>
        <w:t>create market distortions</w:t>
      </w:r>
      <w:r>
        <w:rPr>
          <w:b w:val="0"/>
          <w:i w:val="0"/>
          <w:smallCaps w:val="0"/>
          <w:strike w:val="0"/>
          <w:u w:val="none"/>
        </w:rPr>
        <w:t xml:space="preserve">. 164 </w:t>
      </w:r>
      <w:r>
        <w:rPr>
          <w:b w:val="0"/>
          <w:i w:val="0"/>
          <w:smallCaps w:val="0"/>
          <w:strike w:val="0"/>
          <w:sz w:val="22"/>
          <w:u w:val="single"/>
        </w:rPr>
        <w:t xml:space="preserve">This renders the patent system inefficient because it results in </w:t>
      </w:r>
      <w:r>
        <w:rPr>
          <w:b/>
          <w:i w:val="0"/>
          <w:smallCaps w:val="0"/>
          <w:strike w:val="0"/>
          <w:sz w:val="22"/>
          <w:u w:val="single"/>
        </w:rPr>
        <w:t>reduced availability or production</w:t>
      </w:r>
      <w:r>
        <w:rPr>
          <w:b w:val="0"/>
          <w:i w:val="0"/>
          <w:smallCaps w:val="0"/>
          <w:strike w:val="0"/>
          <w:u w:val="none"/>
        </w:rPr>
        <w:t xml:space="preserve">, </w:t>
      </w:r>
      <w:r>
        <w:rPr>
          <w:b w:val="0"/>
          <w:i w:val="0"/>
          <w:smallCaps w:val="0"/>
          <w:strike w:val="0"/>
          <w:sz w:val="22"/>
          <w:u w:val="single"/>
        </w:rPr>
        <w:t>resulting in artificially</w:t>
      </w:r>
      <w:r>
        <w:rPr>
          <w:b w:val="0"/>
          <w:i w:val="0"/>
          <w:smallCaps w:val="0"/>
          <w:strike w:val="0"/>
          <w:u w:val="none"/>
        </w:rPr>
        <w:t xml:space="preserve"> [*21] </w:t>
      </w:r>
      <w:r>
        <w:rPr>
          <w:b w:val="0"/>
          <w:i w:val="0"/>
          <w:smallCaps w:val="0"/>
          <w:strike w:val="0"/>
          <w:sz w:val="22"/>
          <w:u w:val="single"/>
        </w:rPr>
        <w:t>higher prices.</w:t>
      </w:r>
      <w:r>
        <w:rPr>
          <w:b w:val="0"/>
          <w:i w:val="0"/>
          <w:smallCaps w:val="0"/>
          <w:strike w:val="0"/>
          <w:u w:val="none"/>
        </w:rPr>
        <w:t xml:space="preserve"> 165 Economists typically consider this deadweight loss from monopoly pricing to exceed the costs of other incentive systems. 166 In some sectors--for example, pharmaceuticals--analysts have found that monopoly power spawns </w:t>
      </w:r>
      <w:r>
        <w:rPr>
          <w:b w:val="0"/>
          <w:i w:val="0"/>
          <w:smallCaps w:val="0"/>
          <w:strike w:val="0"/>
          <w:u w:val="none"/>
        </w:rPr>
        <w:t>a number of</w:t>
      </w:r>
      <w:r>
        <w:rPr>
          <w:b w:val="0"/>
          <w:i w:val="0"/>
          <w:smallCaps w:val="0"/>
          <w:strike w:val="0"/>
          <w:u w:val="none"/>
        </w:rPr>
        <w:t xml:space="preserve"> detrimental effects, including high drug prices, inequitable allocation of medicines, and the creation of follow-on drugs with little additional value. 167</w:t>
      </w:r>
    </w:p>
    <w:p>
      <w:pPr>
        <w:spacing w:after="60"/>
      </w:pPr>
      <w:r>
        <w:rPr>
          <w:b w:val="0"/>
          <w:i w:val="0"/>
          <w:smallCaps w:val="0"/>
          <w:strike w:val="0"/>
          <w:u w:val="none"/>
        </w:rPr>
        <w:t>Several procedures are available to minimize deadweight loss. A form of price discrimination, two-part pricing, is</w:t>
      </w:r>
    </w:p>
    <w:p>
      <w:pPr>
        <w:spacing w:after="60"/>
      </w:pPr>
      <w:r>
        <w:rPr>
          <w:b w:val="0"/>
          <w:i w:val="0"/>
          <w:smallCaps w:val="0"/>
          <w:strike w:val="0"/>
          <w:u w:val="none"/>
        </w:rPr>
        <w:t>one such approach. In this system, a consumer pays an initial fee for the right to acquire units at no additional</w:t>
      </w:r>
    </w:p>
    <w:p>
      <w:pPr>
        <w:spacing w:after="60"/>
      </w:pPr>
      <w:r>
        <w:rPr>
          <w:b w:val="0"/>
          <w:i w:val="0"/>
          <w:smallCaps w:val="0"/>
          <w:strike w:val="0"/>
          <w:u w:val="none"/>
        </w:rPr>
        <w:t>charge or at a set price. 168Examples of this pricing scheme include Disneyland 169and Netflix or</w:t>
      </w:r>
    </w:p>
    <w:p>
      <w:pPr>
        <w:spacing w:after="60"/>
      </w:pPr>
      <w:r>
        <w:rPr>
          <w:b w:val="0"/>
          <w:i w:val="0"/>
          <w:smallCaps w:val="0"/>
          <w:strike w:val="0"/>
          <w:u w:val="none"/>
        </w:rPr>
        <w:t>Amazon Prime. 170Similarly, a patent pool typically requires members of the pool to pay a fee for free or</w:t>
      </w:r>
    </w:p>
    <w:p>
      <w:pPr>
        <w:spacing w:after="60"/>
      </w:pPr>
      <w:r>
        <w:rPr>
          <w:b w:val="0"/>
          <w:i w:val="0"/>
          <w:smallCaps w:val="0"/>
          <w:strike w:val="0"/>
          <w:u w:val="none"/>
        </w:rPr>
        <w:t>discounted access to the patents included in the pool. 171However, two-part pricing does not completely</w:t>
      </w:r>
    </w:p>
    <w:p>
      <w:pPr>
        <w:spacing w:after="60"/>
      </w:pPr>
      <w:r>
        <w:rPr>
          <w:b w:val="0"/>
          <w:i w:val="0"/>
          <w:smallCaps w:val="0"/>
          <w:strike w:val="0"/>
          <w:u w:val="none"/>
        </w:rPr>
        <w:t>solve the deadweight issue. 172The initial fee causes a deadweight loss of its own. For instance, the</w:t>
      </w:r>
    </w:p>
    <w:p>
      <w:pPr>
        <w:spacing w:after="60"/>
      </w:pPr>
      <w:r>
        <w:rPr>
          <w:b w:val="0"/>
          <w:i w:val="0"/>
          <w:smallCaps w:val="0"/>
          <w:strike w:val="0"/>
          <w:u w:val="none"/>
        </w:rPr>
        <w:t>Disneyland entrance fee will price some potential visitors out of the market. It does, however, allow those who do</w:t>
      </w:r>
    </w:p>
    <w:p>
      <w:pPr>
        <w:spacing w:after="60"/>
      </w:pPr>
      <w:r>
        <w:rPr>
          <w:b w:val="0"/>
          <w:i w:val="0"/>
          <w:smallCaps w:val="0"/>
          <w:strike w:val="0"/>
          <w:u w:val="none"/>
        </w:rPr>
        <w:t>pay admission to avoid the deadweight loss from monopoly pricing. 173</w:t>
      </w:r>
    </w:p>
    <w:p>
      <w:pPr>
        <w:spacing w:after="60"/>
      </w:pPr>
      <w:r>
        <w:rPr>
          <w:b w:val="0"/>
          <w:i w:val="0"/>
          <w:smallCaps w:val="0"/>
          <w:strike w:val="0"/>
          <w:u w:val="none"/>
        </w:rPr>
        <w:t>Another approach to address deadweight loss involves governmental efforts to reduce the effects of deadweight losses. The government could directly reduce deadweight by subsidizing purchases of the invention or its products, or indirectly reduce it by providing tax credits for such purchases. 174Alternatively, or in addition, the [*22] government could also impose price controls on these items. 175Of course, substantial price controls run the risk of reducing the patent system's primary incentive of monopoly pricing. Furthermore, these mechanisms minimize the effect of market forces as incentives for innovation. 176</w:t>
      </w:r>
    </w:p>
    <w:p>
      <w:pPr>
        <w:spacing w:after="60"/>
      </w:pPr>
      <w:r>
        <w:rPr>
          <w:b w:val="0"/>
          <w:i w:val="0"/>
          <w:smallCaps w:val="0"/>
          <w:strike w:val="0"/>
          <w:sz w:val="22"/>
          <w:u w:val="single"/>
        </w:rPr>
        <w:t>The ability to exclude under the patent system</w:t>
      </w:r>
      <w:r>
        <w:rPr>
          <w:b w:val="0"/>
          <w:i w:val="0"/>
          <w:smallCaps w:val="0"/>
          <w:strike w:val="0"/>
          <w:u w:val="none"/>
        </w:rPr>
        <w:t xml:space="preserve"> also </w:t>
      </w:r>
      <w:r>
        <w:rPr>
          <w:b w:val="0"/>
          <w:i w:val="0"/>
          <w:smallCaps w:val="0"/>
          <w:strike w:val="0"/>
          <w:sz w:val="22"/>
          <w:u w:val="single"/>
        </w:rPr>
        <w:t>may discourage follow-on inventions</w:t>
      </w:r>
      <w:r>
        <w:rPr>
          <w:b w:val="0"/>
          <w:i w:val="0"/>
          <w:smallCaps w:val="0"/>
          <w:strike w:val="0"/>
          <w:u w:val="none"/>
        </w:rPr>
        <w:t xml:space="preserve">. 177 </w:t>
      </w:r>
      <w:r>
        <w:rPr>
          <w:b w:val="0"/>
          <w:i w:val="0"/>
          <w:smallCaps w:val="0"/>
          <w:strike w:val="0"/>
          <w:sz w:val="22"/>
          <w:u w:val="single"/>
        </w:rPr>
        <w:t>Despite the</w:t>
      </w:r>
    </w:p>
    <w:p>
      <w:pPr>
        <w:spacing w:after="60"/>
      </w:pPr>
      <w:r>
        <w:rPr>
          <w:b w:val="0"/>
          <w:i w:val="0"/>
          <w:smallCaps w:val="0"/>
          <w:strike w:val="0"/>
          <w:sz w:val="22"/>
          <w:u w:val="single"/>
        </w:rPr>
        <w:t>benefits of invention disclosure,</w:t>
      </w:r>
      <w:r>
        <w:rPr>
          <w:b w:val="0"/>
          <w:i w:val="0"/>
          <w:smallCaps w:val="0"/>
          <w:strike w:val="0"/>
          <w:u w:val="none"/>
        </w:rPr>
        <w:t xml:space="preserve"> </w:t>
      </w:r>
      <w:r>
        <w:rPr>
          <w:b w:val="0"/>
          <w:i w:val="0"/>
          <w:smallCaps w:val="0"/>
          <w:strike w:val="0"/>
          <w:sz w:val="22"/>
          <w:u w:val="single"/>
        </w:rPr>
        <w:t>empirical evidence nevertheless suggests that the patent system discourages</w:t>
      </w:r>
    </w:p>
    <w:p>
      <w:pPr>
        <w:spacing w:after="60"/>
      </w:pPr>
      <w:r>
        <w:rPr>
          <w:b w:val="0"/>
          <w:i w:val="0"/>
          <w:smallCaps w:val="0"/>
          <w:strike w:val="0"/>
          <w:sz w:val="22"/>
          <w:u w:val="single"/>
        </w:rPr>
        <w:t>subsequent innovations</w:t>
      </w:r>
      <w:r>
        <w:rPr>
          <w:b w:val="0"/>
          <w:i w:val="0"/>
          <w:smallCaps w:val="0"/>
          <w:strike w:val="0"/>
          <w:u w:val="none"/>
        </w:rPr>
        <w:t>. 178Economists have found that the restrictions of the patent system may impede</w:t>
      </w:r>
    </w:p>
    <w:p>
      <w:pPr>
        <w:spacing w:after="60"/>
      </w:pPr>
      <w:r>
        <w:rPr>
          <w:b w:val="0"/>
          <w:i w:val="0"/>
          <w:smallCaps w:val="0"/>
          <w:strike w:val="0"/>
          <w:u w:val="none"/>
        </w:rPr>
        <w:t>both follow-on research and subsequent innovations. 179</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