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Rent seeking can be discouraged in the design of the prize -requiring comparative effectiveness trials solves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Heidi </w:t>
      </w:r>
      <w:r>
        <w:rPr>
          <w:b/>
          <w:i w:val="0"/>
          <w:smallCaps w:val="0"/>
          <w:strike w:val="0"/>
          <w:sz w:val="26"/>
          <w:u w:val="none"/>
        </w:rPr>
        <w:t>Williams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10</w:t>
      </w:r>
      <w:r>
        <w:rPr>
          <w:b w:val="0"/>
          <w:i w:val="0"/>
          <w:smallCaps w:val="0"/>
          <w:strike w:val="0"/>
          <w:u w:val="none"/>
        </w:rPr>
        <w:t xml:space="preserve"> – Professor of Economics at Dartmouth College and Director of Science Policy at the Institute for Progress. “Incentives, prizes, and innovation” 11/14,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(2) How can rewards under prize mechanisms be calibrated to be roughly in line with the incremental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social benefits of the rewarded innovations, in the absence of a price mechanism? Here, </w:t>
      </w:r>
      <w:r>
        <w:rPr>
          <w:b w:val="0"/>
          <w:i w:val="0"/>
          <w:smallCaps w:val="0"/>
          <w:strike w:val="0"/>
          <w:sz w:val="22"/>
          <w:u w:val="single"/>
        </w:rPr>
        <w:t>a key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issue is to design metrics that are </w:t>
      </w:r>
      <w:r>
        <w:rPr>
          <w:b/>
          <w:i w:val="0"/>
          <w:smallCaps w:val="0"/>
          <w:strike w:val="0"/>
          <w:sz w:val="22"/>
          <w:u w:val="single"/>
        </w:rPr>
        <w:t>non-</w:t>
      </w:r>
      <w:r>
        <w:rPr>
          <w:b/>
          <w:i w:val="0"/>
          <w:smallCaps w:val="0"/>
          <w:strike w:val="0"/>
          <w:sz w:val="22"/>
          <w:u w:val="single"/>
        </w:rPr>
        <w:t>maniputable</w:t>
      </w:r>
      <w:r>
        <w:rPr>
          <w:b/>
          <w:i w:val="0"/>
          <w:smallCaps w:val="0"/>
          <w:strike w:val="0"/>
          <w:sz w:val="22"/>
          <w:u w:val="single"/>
        </w:rPr>
        <w:t xml:space="preserve"> by firms</w:t>
      </w:r>
      <w:r>
        <w:rPr>
          <w:b w:val="0"/>
          <w:i w:val="0"/>
          <w:smallCaps w:val="0"/>
          <w:strike w:val="0"/>
          <w:u w:val="none"/>
        </w:rPr>
        <w:t xml:space="preserve">, thus </w:t>
      </w:r>
      <w:r>
        <w:rPr>
          <w:b w:val="0"/>
          <w:i w:val="0"/>
          <w:smallCaps w:val="0"/>
          <w:strike w:val="0"/>
          <w:sz w:val="22"/>
          <w:u w:val="single"/>
        </w:rPr>
        <w:t>avoiding distortions that could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otherwise arise due to pure rent seekin</w:t>
      </w:r>
      <w:r>
        <w:rPr>
          <w:b w:val="0"/>
          <w:i w:val="0"/>
          <w:smallCaps w:val="0"/>
          <w:strike w:val="0"/>
          <w:u w:val="none"/>
        </w:rPr>
        <w:t>g. In the case of prize awards for pharmaceutical products,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this could involve the use of comparative effectiveness trials to determine the incremental social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value of a new</w:t>
      </w:r>
      <w:r>
        <w:rPr>
          <w:b w:val="0"/>
          <w:i w:val="0"/>
          <w:smallCaps w:val="0"/>
          <w:strike w:val="0"/>
          <w:u w:val="none"/>
        </w:rPr>
        <w:t xml:space="preserve"> pharmaceutical </w:t>
      </w:r>
      <w:r>
        <w:rPr>
          <w:b w:val="0"/>
          <w:i w:val="0"/>
          <w:smallCaps w:val="0"/>
          <w:strike w:val="0"/>
          <w:sz w:val="22"/>
          <w:u w:val="single"/>
        </w:rPr>
        <w:t>innovation, relative to the next best available</w:t>
      </w:r>
      <w:r>
        <w:rPr>
          <w:b w:val="0"/>
          <w:i w:val="0"/>
          <w:smallCaps w:val="0"/>
          <w:strike w:val="0"/>
          <w:u w:val="none"/>
        </w:rPr>
        <w:t xml:space="preserve"> therapy.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