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increase consumer prices, prizes avoid the link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Buccafusco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Christopher </w:t>
      </w:r>
      <w:r>
        <w:rPr>
          <w:b/>
          <w:i w:val="0"/>
          <w:smallCaps w:val="0"/>
          <w:strike w:val="0"/>
          <w:sz w:val="26"/>
          <w:u w:val="none"/>
        </w:rPr>
        <w:t>and Weinstein</w:t>
      </w:r>
      <w:r>
        <w:rPr>
          <w:b w:val="0"/>
          <w:i w:val="0"/>
          <w:smallCaps w:val="0"/>
          <w:strike w:val="0"/>
          <w:u w:val="none"/>
        </w:rPr>
        <w:t>, Samuel N. (20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) - Christopher </w:t>
      </w:r>
      <w:r>
        <w:rPr>
          <w:b w:val="0"/>
          <w:i w:val="0"/>
          <w:smallCaps w:val="0"/>
          <w:strike w:val="0"/>
          <w:u w:val="none"/>
        </w:rPr>
        <w:t>Buccafusco</w:t>
      </w:r>
      <w:r>
        <w:rPr>
          <w:b w:val="0"/>
          <w:i w:val="0"/>
          <w:smallCaps w:val="0"/>
          <w:strike w:val="0"/>
          <w:u w:val="none"/>
        </w:rPr>
        <w:t xml:space="preserve"> is the Edward &amp; Ellen Schwarzman Distinguished Professor at Duke University School of Law. Samuel N. Weinstein is a Professor and Co-Director of the Heyman Center on Corporate Governance at the Benjamin N. Cardozo School of Law, Yeshiva University "Antisocial Innovation," Georgia Law Review: Vol. 58: No. 2, Article 4. Available at: https://digitalcommons.law.uga.edu/glr/vol58/iss2/4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 differ from prizes</w:t>
      </w:r>
      <w:r>
        <w:rPr>
          <w:b w:val="0"/>
          <w:i w:val="0"/>
          <w:smallCaps w:val="0"/>
          <w:strike w:val="0"/>
          <w:u w:val="none"/>
        </w:rPr>
        <w:t>, grants, and tax incentives in another way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While the latter are paid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directly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government</w:t>
      </w:r>
      <w:r>
        <w:rPr>
          <w:b w:val="0"/>
          <w:i w:val="0"/>
          <w:smallCaps w:val="0"/>
          <w:strike w:val="0"/>
          <w:u w:val="none"/>
        </w:rPr>
        <w:t xml:space="preserve"> (and, thus, taxpayers)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through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spending, issuing patents doesn’t cost the government</w:t>
      </w:r>
      <w:r>
        <w:rPr>
          <w:b w:val="0"/>
          <w:i w:val="0"/>
          <w:smallCaps w:val="0"/>
          <w:strike w:val="0"/>
          <w:u w:val="none"/>
        </w:rPr>
        <w:t xml:space="preserve"> much.84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But patents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definitely have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 price. Patent incentives are financed by consumers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products that incorporate patents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who must pay higher prices for those goods</w:t>
      </w:r>
      <w:r>
        <w:rPr>
          <w:b w:val="0"/>
          <w:i w:val="0"/>
          <w:smallCaps w:val="0"/>
          <w:strike w:val="0"/>
          <w:u w:val="none"/>
        </w:rPr>
        <w:t xml:space="preserve">.85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By enabling patent owners to charge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supracompetitive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prices, patents act as a tax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paid by consumers for the benefit of innovators</w:t>
      </w:r>
      <w:r>
        <w:rPr>
          <w:b w:val="0"/>
          <w:i w:val="0"/>
          <w:smallCaps w:val="0"/>
          <w:strike w:val="0"/>
          <w:u w:val="none"/>
        </w:rPr>
        <w:t xml:space="preserve">.86 Thus, unlike other innovation expenditures, when governments promote innovation with the exclusive rights patents confer, their expenditures are “off-budget.”87 This means that it is enormously difficult to estimate the size of society’s contribution to innovation promotion through higher prices for patented goods.88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