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Legislatively overruling Myriad </w:t>
      </w:r>
      <w:r>
        <w:rPr>
          <w:b/>
          <w:i w:val="0"/>
          <w:smallCaps w:val="0"/>
          <w:strike w:val="0"/>
          <w:sz w:val="26"/>
          <w:u w:val="single"/>
        </w:rPr>
        <w:t>increases</w:t>
      </w:r>
      <w:r>
        <w:rPr>
          <w:b/>
          <w:i w:val="0"/>
          <w:smallCaps w:val="0"/>
          <w:strike w:val="0"/>
          <w:sz w:val="26"/>
          <w:u w:val="none"/>
        </w:rPr>
        <w:t xml:space="preserve"> uncertainty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Josh </w:t>
      </w:r>
      <w:r>
        <w:rPr>
          <w:b/>
          <w:i w:val="0"/>
          <w:smallCaps w:val="0"/>
          <w:strike w:val="0"/>
          <w:sz w:val="26"/>
          <w:u w:val="none"/>
        </w:rPr>
        <w:t>Saul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J.D. Candidate, 2025, Fordham University School of Law; Ph.D., 2021, Massachusetts Institute of Technology; B.A., 2014, University of California, Berkeley. “GENE PATENTS:  STRIKING THE RIGHT BALANCE BETWEEN INCENTIVE AND INNOVATION” FORDHAM LAW REVIEW, Vol. 92: 2765, May,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Some have advocated for sweeping congressional legislation to overturn Myriad, such as Senator Tillis’s </w:t>
      </w:r>
      <w:r>
        <w:rPr>
          <w:b w:val="0"/>
          <w:i w:val="0"/>
          <w:smallCaps w:val="0"/>
          <w:strike w:val="0"/>
          <w:sz w:val="22"/>
          <w:u w:val="single"/>
        </w:rPr>
        <w:t>Patent Eligibility Restoration Act</w:t>
      </w:r>
      <w:r>
        <w:rPr>
          <w:b w:val="0"/>
          <w:i w:val="0"/>
          <w:smallCaps w:val="0"/>
          <w:strike w:val="0"/>
          <w:u w:val="none"/>
        </w:rPr>
        <w:t xml:space="preserve">.339  The bill </w:t>
      </w:r>
      <w:r>
        <w:rPr>
          <w:b w:val="0"/>
          <w:i w:val="0"/>
          <w:smallCaps w:val="0"/>
          <w:strike w:val="0"/>
          <w:sz w:val="22"/>
          <w:u w:val="single"/>
        </w:rPr>
        <w:t>would effectively reverse Myriad and set gene patents back to pre-2013 status</w:t>
      </w:r>
      <w:r>
        <w:rPr>
          <w:b w:val="0"/>
          <w:i w:val="0"/>
          <w:smallCaps w:val="0"/>
          <w:strike w:val="0"/>
          <w:u w:val="none"/>
        </w:rPr>
        <w:t xml:space="preserve">.340  However,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gene patents were not perfect before Myriad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341  </w:t>
      </w:r>
      <w:r>
        <w:rPr>
          <w:b w:val="0"/>
          <w:i w:val="0"/>
          <w:smallCaps w:val="0"/>
          <w:strike w:val="0"/>
          <w:sz w:val="22"/>
          <w:u w:val="single"/>
        </w:rPr>
        <w:t>The Myriad suit was brought over very real concerns about the effects that gene patents had on healthcare costs and access by researcher</w:t>
      </w:r>
      <w:r>
        <w:rPr>
          <w:b w:val="0"/>
          <w:i w:val="0"/>
          <w:smallCaps w:val="0"/>
          <w:strike w:val="0"/>
          <w:u w:val="none"/>
        </w:rPr>
        <w:t xml:space="preserve">s.342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bill</w:t>
      </w:r>
      <w:r>
        <w:rPr>
          <w:b w:val="0"/>
          <w:i w:val="0"/>
          <w:smallCaps w:val="0"/>
          <w:strike w:val="0"/>
          <w:u w:val="none"/>
        </w:rPr>
        <w:t xml:space="preserve">, if enacted,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</w:t>
      </w:r>
      <w:r>
        <w:rPr>
          <w:b w:val="0"/>
          <w:i w:val="0"/>
          <w:smallCaps w:val="0"/>
          <w:strike w:val="0"/>
          <w:u w:val="none"/>
        </w:rPr>
        <w:t xml:space="preserve"> likely reopen those issues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reignite a number of debates over gene patents that would once again require judicial interpretation</w:t>
      </w:r>
      <w:r>
        <w:rPr>
          <w:b w:val="0"/>
          <w:i w:val="0"/>
          <w:smallCaps w:val="0"/>
          <w:strike w:val="0"/>
          <w:u w:val="none"/>
        </w:rPr>
        <w:t xml:space="preserve">.  Given the Supreme Court’s stance that genes should not be patentable, it is unclear whether those debates would lead to a different result.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Such a move would likely provoke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even greater uncertainty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within the biotech industry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might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ultimately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prove counterproductive to the goal of reinvigorating investment</w:t>
      </w:r>
      <w:r>
        <w:rPr>
          <w:b w:val="0"/>
          <w:i w:val="0"/>
          <w:smallCaps w:val="0"/>
          <w:strike w:val="0"/>
          <w:u w:val="none"/>
        </w:rPr>
        <w:t xml:space="preserve"> in the field.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