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Current limits on patent eligibility are spurring innovation vital to mitigating future pandemics</w:t>
      </w:r>
    </w:p>
    <w:p>
      <w:pPr>
        <w:spacing w:after="80"/>
      </w:pPr>
      <w:r>
        <w:rPr>
          <w:b w:val="0"/>
          <w:i w:val="0"/>
          <w:smallCaps w:val="0"/>
          <w:strike w:val="0"/>
          <w:u w:val="none"/>
        </w:rPr>
        <w:t xml:space="preserve">Alex </w:t>
      </w:r>
      <w:r>
        <w:rPr>
          <w:b/>
          <w:i w:val="0"/>
          <w:smallCaps w:val="0"/>
          <w:strike w:val="0"/>
          <w:sz w:val="26"/>
          <w:u w:val="none"/>
        </w:rPr>
        <w:t>Moss, 24</w:t>
      </w:r>
      <w:r>
        <w:rPr>
          <w:b w:val="0"/>
          <w:i w:val="0"/>
          <w:smallCaps w:val="0"/>
          <w:strike w:val="0"/>
          <w:u w:val="none"/>
        </w:rP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r>
        <w:rPr>
          <w:b w:val="0"/>
          <w:i w:val="0"/>
          <w:smallCaps w:val="0"/>
          <w:strike w:val="0"/>
          <w:u w:val="none"/>
        </w:rPr>
        <w:t xml:space="preserve"> //DH</w:t>
      </w:r>
    </w:p>
    <w:p>
      <w:pPr>
        <w:spacing w:after="60"/>
      </w:pPr>
      <w:r>
        <w:rPr>
          <w:b w:val="0"/>
          <w:i w:val="0"/>
          <w:smallCaps w:val="0"/>
          <w:strike w:val="0"/>
          <w:u w:val="none"/>
        </w:rPr>
        <w:t xml:space="preserve">Indeed, Captain Kimberly J. </w:t>
      </w:r>
      <w:r>
        <w:rPr>
          <w:b w:val="0"/>
          <w:i w:val="0"/>
          <w:smallCaps w:val="0"/>
          <w:strike w:val="0"/>
          <w:sz w:val="22"/>
          <w:u w:val="single"/>
        </w:rPr>
        <w:t>Elenberg</w:t>
      </w:r>
      <w:r>
        <w:rPr>
          <w:b w:val="0"/>
          <w:i w:val="0"/>
          <w:smallCaps w:val="0"/>
          <w:strike w:val="0"/>
          <w:sz w:val="22"/>
          <w:u w:val="single"/>
        </w:rPr>
        <w:t>, Director for Force Modeling and Analytics for the Department of Defense Coronavirus</w:t>
      </w:r>
      <w:r>
        <w:rPr>
          <w:b w:val="0"/>
          <w:i w:val="0"/>
          <w:smallCaps w:val="0"/>
          <w:strike w:val="0"/>
          <w:u w:val="none"/>
        </w:rPr>
        <w:t xml:space="preserve"> 2019 </w:t>
      </w:r>
      <w:r>
        <w:rPr>
          <w:b w:val="0"/>
          <w:i w:val="0"/>
          <w:smallCaps w:val="0"/>
          <w:strike w:val="0"/>
          <w:sz w:val="22"/>
          <w:u w:val="single"/>
        </w:rPr>
        <w:t>Task Force, has credited current patent eligibility jurisprudence for playing a large role in allowing her team to coordinate the military’s response to the pandemic</w:t>
      </w:r>
      <w:r>
        <w:rPr>
          <w:b w:val="0"/>
          <w:i w:val="0"/>
          <w:smallCaps w:val="0"/>
          <w:strike w:val="0"/>
          <w:u w:val="none"/>
        </w:rPr>
        <w:t xml:space="preserve">.14 For example, </w:t>
      </w:r>
      <w:r>
        <w:rPr>
          <w:b w:val="0"/>
          <w:i w:val="0"/>
          <w:smallCaps w:val="0"/>
          <w:strike w:val="0"/>
          <w:sz w:val="22"/>
          <w:u w:val="single"/>
        </w:rPr>
        <w:t xml:space="preserve">researchers discovered </w:t>
      </w:r>
      <w:r>
        <w:rPr>
          <w:b w:val="0"/>
          <w:i w:val="0"/>
          <w:smallCaps w:val="0"/>
          <w:strike w:val="0"/>
          <w:u w:val="none"/>
        </w:rPr>
        <w:t>that a significant proportion of individuals infected with COVID-19 sh</w:t>
      </w:r>
      <w:r>
        <w:rPr>
          <w:b w:val="0"/>
          <w:i w:val="0"/>
          <w:smallCaps w:val="0"/>
          <w:strike w:val="0"/>
          <w:u w:val="none"/>
        </w:rPr>
        <w:t xml:space="preserve">ed virus RNA in their stool, and therefore </w:t>
      </w:r>
      <w:r>
        <w:rPr>
          <w:b w:val="0"/>
          <w:i w:val="0"/>
          <w:smallCaps w:val="0"/>
          <w:strike w:val="0"/>
          <w:sz w:val="22"/>
          <w:u w:val="single"/>
        </w:rPr>
        <w:t>the level of virus RNA in wastewater can be measured to track community infection trends</w:t>
      </w:r>
      <w:r>
        <w:rPr>
          <w:b w:val="0"/>
          <w:i w:val="0"/>
          <w:smallCaps w:val="0"/>
          <w:strike w:val="0"/>
          <w:u w:val="none"/>
        </w:rPr>
        <w:t xml:space="preserve">.15 </w:t>
      </w:r>
      <w:r>
        <w:rPr>
          <w:b w:val="0"/>
          <w:i w:val="0"/>
          <w:smallCaps w:val="0"/>
          <w:strike w:val="0"/>
          <w:sz w:val="22"/>
          <w:u w:val="single"/>
        </w:rPr>
        <w:t>Under existing patent eligibility law, the correlation between the amount of virus RNA in stool samples and community infection levels was not eligible for patenting</w:t>
      </w:r>
      <w:r>
        <w:rPr>
          <w:b w:val="0"/>
          <w:i w:val="0"/>
          <w:smallCaps w:val="0"/>
          <w:strike w:val="0"/>
          <w:u w:val="none"/>
        </w:rPr>
        <w:t xml:space="preserve">, even with the addition of a conventional wastewater test. Therefore, </w:t>
      </w:r>
      <w:r>
        <w:rPr>
          <w:b w:val="0"/>
          <w:i w:val="0"/>
          <w:smallCaps w:val="0"/>
          <w:strike w:val="0"/>
          <w:sz w:val="22"/>
          <w:u w:val="single"/>
        </w:rPr>
        <w:t>both the CDC and military could freely conduct wastewater tests and use the results to determine where to allocate testing resources</w:t>
      </w:r>
      <w:r>
        <w:rPr>
          <w:b w:val="0"/>
          <w:i w:val="0"/>
          <w:smallCaps w:val="0"/>
          <w:strike w:val="0"/>
          <w:u w:val="none"/>
        </w:rPr>
        <w:t xml:space="preserve">.  </w:t>
      </w:r>
    </w:p>
    <w:p>
      <w:pPr>
        <w:spacing w:after="60"/>
      </w:pPr>
      <w:r>
        <w:rPr>
          <w:b w:val="0"/>
          <w:i w:val="0"/>
          <w:smallCaps w:val="0"/>
          <w:strike w:val="0"/>
          <w:sz w:val="22"/>
          <w:highlight w:val="cyan"/>
          <w:u w:val="single"/>
        </w:rPr>
        <w:t>Current patent eligibility law</w:t>
      </w:r>
      <w:r>
        <w:rPr>
          <w:b w:val="0"/>
          <w:i w:val="0"/>
          <w:smallCaps w:val="0"/>
          <w:strike w:val="0"/>
          <w:sz w:val="22"/>
          <w:u w:val="single"/>
        </w:rPr>
        <w:t xml:space="preserve"> also </w:t>
      </w:r>
      <w:r>
        <w:rPr>
          <w:b w:val="0"/>
          <w:i w:val="0"/>
          <w:smallCaps w:val="0"/>
          <w:strike w:val="0"/>
          <w:sz w:val="22"/>
          <w:highlight w:val="cyan"/>
          <w:u w:val="single"/>
        </w:rPr>
        <w:t>plays a key role in protecting</w:t>
      </w:r>
      <w:r>
        <w:rPr>
          <w:b w:val="0"/>
          <w:i w:val="0"/>
          <w:smallCaps w:val="0"/>
          <w:strike w:val="0"/>
          <w:sz w:val="22"/>
          <w:u w:val="single"/>
        </w:rPr>
        <w:t xml:space="preserve"> the public </w:t>
      </w:r>
      <w:r>
        <w:rPr>
          <w:b w:val="0"/>
          <w:i w:val="0"/>
          <w:smallCaps w:val="0"/>
          <w:strike w:val="0"/>
          <w:sz w:val="22"/>
          <w:highlight w:val="cyan"/>
          <w:u w:val="single"/>
        </w:rPr>
        <w:t xml:space="preserve">from </w:t>
      </w:r>
      <w:r>
        <w:rPr>
          <w:b/>
          <w:i/>
          <w:smallCaps w:val="0"/>
          <w:strike w:val="0"/>
          <w:sz w:val="22"/>
          <w:highlight w:val="cyan"/>
          <w:u w:val="single"/>
        </w:rPr>
        <w:t>future</w:t>
      </w:r>
      <w:r>
        <w:rPr>
          <w:b/>
          <w:i w:val="0"/>
          <w:smallCaps w:val="0"/>
          <w:strike w:val="0"/>
          <w:sz w:val="22"/>
          <w:highlight w:val="cyan"/>
          <w:u w:val="single"/>
        </w:rPr>
        <w:t xml:space="preserve"> pandemics</w:t>
      </w:r>
      <w:r>
        <w:rPr>
          <w:b w:val="0"/>
          <w:i w:val="0"/>
          <w:smallCaps w:val="0"/>
          <w:strike w:val="0"/>
          <w:u w:val="none"/>
        </w:rPr>
        <w:t xml:space="preserve">. Just like tracking new variants, </w:t>
      </w:r>
      <w:r>
        <w:rPr>
          <w:b w:val="0"/>
          <w:i w:val="0"/>
          <w:smallCaps w:val="0"/>
          <w:strike w:val="0"/>
          <w:sz w:val="22"/>
          <w:highlight w:val="cyan"/>
          <w:u w:val="single"/>
        </w:rPr>
        <w:t>detecting</w:t>
      </w:r>
      <w:r>
        <w:rPr>
          <w:b w:val="0"/>
          <w:i w:val="0"/>
          <w:smallCaps w:val="0"/>
          <w:strike w:val="0"/>
          <w:sz w:val="22"/>
          <w:u w:val="single"/>
        </w:rPr>
        <w:t xml:space="preserve"> the emergence of </w:t>
      </w:r>
      <w:r>
        <w:rPr>
          <w:b w:val="0"/>
          <w:i w:val="0"/>
          <w:smallCaps w:val="0"/>
          <w:strike w:val="0"/>
          <w:sz w:val="22"/>
          <w:highlight w:val="cyan"/>
          <w:u w:val="single"/>
        </w:rPr>
        <w:t>new viruses requires unrestricted access to gene sequences</w:t>
      </w:r>
      <w:r>
        <w:rPr>
          <w:b w:val="0"/>
          <w:i w:val="0"/>
          <w:smallCaps w:val="0"/>
          <w:strike w:val="0"/>
          <w:sz w:val="22"/>
          <w:u w:val="single"/>
        </w:rPr>
        <w:t>, natural correlations, and conventional analytic methods implemented on generic computers</w:t>
      </w:r>
      <w:r>
        <w:rPr>
          <w:b w:val="0"/>
          <w:i w:val="0"/>
          <w:smallCaps w:val="0"/>
          <w:strike w:val="0"/>
          <w:u w:val="none"/>
        </w:rPr>
        <w:t xml:space="preserve">. For example, </w:t>
      </w:r>
      <w:r>
        <w:rPr>
          <w:b w:val="0"/>
          <w:i w:val="0"/>
          <w:smallCaps w:val="0"/>
          <w:strike w:val="0"/>
          <w:sz w:val="22"/>
          <w:u w:val="single"/>
        </w:rPr>
        <w:t xml:space="preserve">Dr. Christopher </w:t>
      </w:r>
      <w:r>
        <w:rPr>
          <w:b w:val="0"/>
          <w:i w:val="0"/>
          <w:smallCaps w:val="0"/>
          <w:strike w:val="0"/>
          <w:sz w:val="22"/>
          <w:highlight w:val="cyan"/>
          <w:u w:val="single"/>
        </w:rPr>
        <w:t>Mason</w:t>
      </w:r>
      <w:r>
        <w:rPr>
          <w:b w:val="0"/>
          <w:i w:val="0"/>
          <w:smallCaps w:val="0"/>
          <w:strike w:val="0"/>
          <w:sz w:val="22"/>
          <w:u w:val="single"/>
        </w:rPr>
        <w:t xml:space="preserve"> of Wiell Medical College </w:t>
      </w:r>
      <w:r>
        <w:rPr>
          <w:b w:val="0"/>
          <w:i w:val="0"/>
          <w:smallCaps w:val="0"/>
          <w:strike w:val="0"/>
          <w:sz w:val="22"/>
          <w:highlight w:val="cyan"/>
          <w:u w:val="single"/>
        </w:rPr>
        <w:t xml:space="preserve">has led a coordinated effort among researchers to sequence and characterize </w:t>
      </w:r>
      <w:r>
        <w:rPr>
          <w:b w:val="0"/>
          <w:i w:val="0"/>
          <w:smallCaps w:val="0"/>
          <w:strike w:val="0"/>
          <w:sz w:val="22"/>
          <w:u w:val="single"/>
        </w:rPr>
        <w:t>microbiota</w:t>
      </w:r>
      <w:r>
        <w:rPr>
          <w:b w:val="0"/>
          <w:i w:val="0"/>
          <w:smallCaps w:val="0"/>
          <w:strike w:val="0"/>
          <w:sz w:val="22"/>
          <w:u w:val="single"/>
        </w:rPr>
        <w:t xml:space="preserve"> (</w:t>
      </w:r>
      <w:r>
        <w:rPr>
          <w:b w:val="0"/>
          <w:i w:val="0"/>
          <w:smallCaps w:val="0"/>
          <w:strike w:val="0"/>
          <w:sz w:val="22"/>
          <w:highlight w:val="cyan"/>
          <w:u w:val="single"/>
        </w:rPr>
        <w:t>bacteria, fungi, viruses, and other microbes</w:t>
      </w:r>
      <w:r>
        <w:rPr>
          <w:b w:val="0"/>
          <w:i w:val="0"/>
          <w:smallCaps w:val="0"/>
          <w:strike w:val="0"/>
          <w:sz w:val="22"/>
          <w:u w:val="single"/>
        </w:rPr>
        <w:t>) in cities across the world</w:t>
      </w:r>
      <w:r>
        <w:rPr>
          <w:b w:val="0"/>
          <w:i w:val="0"/>
          <w:smallCaps w:val="0"/>
          <w:strike w:val="0"/>
          <w:u w:val="none"/>
        </w:rPr>
        <w:t xml:space="preserve">.16 Thus far, </w:t>
      </w:r>
      <w:r>
        <w:rPr>
          <w:b w:val="0"/>
          <w:i w:val="0"/>
          <w:smallCaps w:val="0"/>
          <w:strike w:val="0"/>
          <w:sz w:val="22"/>
          <w:u w:val="single"/>
        </w:rPr>
        <w:t xml:space="preserve">their work has identified 10,928 viruses and 748 kinds of bacteria that had </w:t>
      </w:r>
      <w:r>
        <w:rPr>
          <w:b w:val="0"/>
          <w:i w:val="0"/>
          <w:smallCaps w:val="0"/>
          <w:strike w:val="0"/>
          <w:sz w:val="22"/>
          <w:u w:val="single"/>
        </w:rPr>
        <w:t>never before</w:t>
      </w:r>
      <w:r>
        <w:rPr>
          <w:b w:val="0"/>
          <w:i w:val="0"/>
          <w:smallCaps w:val="0"/>
          <w:strike w:val="0"/>
          <w:sz w:val="22"/>
          <w:u w:val="single"/>
        </w:rPr>
        <w:t xml:space="preserve"> been documented</w:t>
      </w:r>
      <w:r>
        <w:rPr>
          <w:b w:val="0"/>
          <w:i w:val="0"/>
          <w:smallCaps w:val="0"/>
          <w:strike w:val="0"/>
          <w:u w:val="none"/>
        </w:rPr>
        <w:t xml:space="preserve">. 17 </w:t>
      </w:r>
      <w:r>
        <w:rPr>
          <w:b w:val="0"/>
          <w:i w:val="0"/>
          <w:smallCaps w:val="0"/>
          <w:strike w:val="0"/>
          <w:sz w:val="22"/>
          <w:highlight w:val="cyan"/>
          <w:u w:val="single"/>
        </w:rPr>
        <w:t>Thanks to the ability to freely match genes associated with pathogenic viruses as well as antimicrobial resistance</w:t>
      </w:r>
      <w:r>
        <w:rPr>
          <w:b w:val="0"/>
          <w:i w:val="0"/>
          <w:smallCaps w:val="0"/>
          <w:strike w:val="0"/>
          <w:sz w:val="22"/>
          <w:u w:val="single"/>
        </w:rPr>
        <w:t xml:space="preserve"> to newly identified strains, Dr. </w:t>
      </w:r>
      <w:r>
        <w:rPr>
          <w:b w:val="0"/>
          <w:i w:val="0"/>
          <w:smallCaps w:val="0"/>
          <w:strike w:val="0"/>
          <w:sz w:val="22"/>
          <w:highlight w:val="cyan"/>
          <w:u w:val="single"/>
        </w:rPr>
        <w:t>Mason’s program is already helping us</w:t>
      </w:r>
      <w:r>
        <w:rPr>
          <w:b w:val="0"/>
          <w:i w:val="0"/>
          <w:smallCaps w:val="0"/>
          <w:strike w:val="0"/>
          <w:sz w:val="22"/>
          <w:u w:val="single"/>
        </w:rPr>
        <w:t xml:space="preserve"> prepare for (and potentially </w:t>
      </w:r>
      <w:r>
        <w:rPr>
          <w:b/>
          <w:i w:val="0"/>
          <w:smallCaps w:val="0"/>
          <w:strike w:val="0"/>
          <w:sz w:val="22"/>
          <w:highlight w:val="cyan"/>
          <w:u w:val="single"/>
        </w:rPr>
        <w:t>mitigate</w:t>
      </w:r>
      <w:r>
        <w:rPr>
          <w:b w:val="0"/>
          <w:i w:val="0"/>
          <w:smallCaps w:val="0"/>
          <w:strike w:val="0"/>
          <w:sz w:val="22"/>
          <w:u w:val="single"/>
        </w:rPr>
        <w:t xml:space="preserve">) </w:t>
      </w:r>
      <w:r>
        <w:rPr>
          <w:b w:val="0"/>
          <w:i w:val="0"/>
          <w:smallCaps w:val="0"/>
          <w:strike w:val="0"/>
          <w:sz w:val="22"/>
          <w:highlight w:val="cyan"/>
          <w:u w:val="single"/>
        </w:rPr>
        <w:t>future health crises</w:t>
      </w:r>
      <w:r>
        <w:rPr>
          <w:b w:val="0"/>
          <w:i w:val="0"/>
          <w:smallCaps w:val="0"/>
          <w:strike w:val="0"/>
          <w:u w:val="none"/>
        </w:rPr>
        <w:t xml:space="preserve">.18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