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Current Court decisions are promoting life sciences innovation now</w:t>
      </w:r>
    </w:p>
    <w:p>
      <w:pPr>
        <w:spacing w:after="80"/>
      </w:pPr>
      <w:r>
        <w:rPr>
          <w:b w:val="0"/>
          <w:i w:val="0"/>
          <w:smallCaps w:val="0"/>
          <w:strike w:val="0"/>
          <w:u w:val="none"/>
        </w:rPr>
        <w:t xml:space="preserve">Richard L. </w:t>
      </w:r>
      <w:r>
        <w:rPr>
          <w:b/>
          <w:i w:val="0"/>
          <w:smallCaps w:val="0"/>
          <w:strike w:val="0"/>
          <w:sz w:val="26"/>
          <w:u w:val="none"/>
        </w:rPr>
        <w:t>Blaylock</w:t>
      </w:r>
      <w:r>
        <w:rPr>
          <w:b w:val="0"/>
          <w:i w:val="0"/>
          <w:smallCaps w:val="0"/>
          <w:strike w:val="0"/>
          <w:u w:val="none"/>
        </w:rPr>
        <w:t>, 20</w:t>
      </w:r>
      <w:r>
        <w:rPr>
          <w:b/>
          <w:i w:val="0"/>
          <w:smallCaps w:val="0"/>
          <w:strike w:val="0"/>
          <w:sz w:val="26"/>
          <w:u w:val="none"/>
        </w:rPr>
        <w:t>24</w:t>
      </w:r>
      <w:r>
        <w:rPr>
          <w:b w:val="0"/>
          <w:i w:val="0"/>
          <w:smallCaps w:val="0"/>
          <w:strike w:val="0"/>
          <w:u w:val="none"/>
        </w:rP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r>
        <w:rPr>
          <w:b w:val="0"/>
          <w:i w:val="0"/>
          <w:smallCaps w:val="0"/>
          <w:strike w:val="0"/>
          <w:u w:val="none"/>
        </w:rPr>
        <w:t xml:space="preserve"> //DH</w:t>
      </w:r>
    </w:p>
    <w:p>
      <w:pPr>
        <w:spacing w:after="60"/>
      </w:pPr>
      <w:r>
        <w:rPr>
          <w:b w:val="0"/>
          <w:i w:val="0"/>
          <w:smallCaps w:val="0"/>
          <w:strike w:val="0"/>
          <w:u w:val="none"/>
        </w:rPr>
        <w:t xml:space="preserve">The Patent Act of 1952 largely codified and clarified longstanding caselaw related to the U.S. patent system.  Congress would do well to follow the example of the Patent Act of 1952 and seek to codify and clarify existing caselaw on patent subject matter eligibility rather than the approach embodied in </w:t>
      </w:r>
      <w:r>
        <w:rPr>
          <w:b w:val="0"/>
          <w:i w:val="0"/>
          <w:smallCaps w:val="0"/>
          <w:strike w:val="0"/>
          <w:sz w:val="22"/>
          <w:u w:val="single"/>
        </w:rPr>
        <w:t>PERA</w:t>
      </w:r>
      <w:r>
        <w:rPr>
          <w:b w:val="0"/>
          <w:i w:val="0"/>
          <w:smallCaps w:val="0"/>
          <w:strike w:val="0"/>
          <w:u w:val="none"/>
        </w:rPr>
        <w:t xml:space="preserve"> which </w:t>
      </w:r>
      <w:r>
        <w:rPr>
          <w:b w:val="0"/>
          <w:i w:val="0"/>
          <w:smallCaps w:val="0"/>
          <w:strike w:val="0"/>
          <w:sz w:val="22"/>
          <w:u w:val="single"/>
        </w:rPr>
        <w:t>is the wholesale abandonment of decades of Supreme Court jurisprudence coupled with ambiguous standards that will destabilize the field of patent subject matter eligibility</w:t>
      </w:r>
      <w:r>
        <w:rPr>
          <w:b w:val="0"/>
          <w:i w:val="0"/>
          <w:smallCaps w:val="0"/>
          <w:strike w:val="0"/>
          <w:u w:val="none"/>
        </w:rPr>
        <w:t xml:space="preserve"> for many years while the courts work out new tools applying the new standards.  </w:t>
      </w:r>
    </w:p>
    <w:p>
      <w:pPr>
        <w:spacing w:after="60"/>
      </w:pPr>
      <w:r>
        <w:rPr>
          <w:b w:val="0"/>
          <w:i w:val="0"/>
          <w:smallCaps w:val="0"/>
          <w:strike w:val="0"/>
          <w:sz w:val="22"/>
          <w:highlight w:val="cyan"/>
          <w:u w:val="single"/>
        </w:rPr>
        <w:t>Some commentators</w:t>
      </w:r>
      <w:r>
        <w:rPr>
          <w:b w:val="0"/>
          <w:i w:val="0"/>
          <w:smallCaps w:val="0"/>
          <w:strike w:val="0"/>
          <w:sz w:val="22"/>
          <w:u w:val="single"/>
        </w:rPr>
        <w:t xml:space="preserve"> on the state of Supreme Court jurisprudence on patent subject matter eligibility</w:t>
      </w:r>
      <w:r>
        <w:rPr>
          <w:b w:val="0"/>
          <w:i w:val="0"/>
          <w:smallCaps w:val="0"/>
          <w:strike w:val="0"/>
          <w:u w:val="none"/>
        </w:rPr>
        <w:t xml:space="preserve"> since the Mayo v. Prometheus decision in 2013 </w:t>
      </w:r>
      <w:r>
        <w:rPr>
          <w:b w:val="0"/>
          <w:i w:val="0"/>
          <w:smallCaps w:val="0"/>
          <w:strike w:val="0"/>
          <w:sz w:val="22"/>
          <w:u w:val="single"/>
        </w:rPr>
        <w:t xml:space="preserve">have </w:t>
      </w:r>
      <w:r>
        <w:rPr>
          <w:b w:val="0"/>
          <w:i w:val="0"/>
          <w:smallCaps w:val="0"/>
          <w:strike w:val="0"/>
          <w:sz w:val="22"/>
          <w:highlight w:val="cyan"/>
          <w:u w:val="single"/>
        </w:rPr>
        <w:t>complained</w:t>
      </w:r>
      <w:r>
        <w:rPr>
          <w:b w:val="0"/>
          <w:i w:val="0"/>
          <w:smallCaps w:val="0"/>
          <w:strike w:val="0"/>
          <w:highlight w:val="cyan"/>
          <w:u w:val="none"/>
        </w:rPr>
        <w:t>,</w:t>
      </w:r>
      <w:r>
        <w:rPr>
          <w:b w:val="0"/>
          <w:i w:val="0"/>
          <w:smallCaps w:val="0"/>
          <w:strike w:val="0"/>
          <w:u w:val="none"/>
        </w:rPr>
        <w:t xml:space="preserve"> sometimes literally, that </w:t>
      </w:r>
      <w:r>
        <w:rPr>
          <w:b w:val="0"/>
          <w:i w:val="0"/>
          <w:smallCaps w:val="0"/>
          <w:strike w:val="0"/>
          <w:sz w:val="22"/>
          <w:highlight w:val="cyan"/>
          <w:u w:val="single"/>
        </w:rPr>
        <w:t>the “sky is falling</w:t>
      </w:r>
      <w:r>
        <w:rPr>
          <w:b w:val="0"/>
          <w:i w:val="0"/>
          <w:smallCaps w:val="0"/>
          <w:strike w:val="0"/>
          <w:highlight w:val="cyan"/>
          <w:u w:val="none"/>
        </w:rPr>
        <w:t xml:space="preserve">.”  </w:t>
      </w:r>
      <w:r>
        <w:rPr>
          <w:b w:val="0"/>
          <w:i w:val="0"/>
          <w:smallCaps w:val="0"/>
          <w:strike w:val="0"/>
          <w:sz w:val="22"/>
          <w:highlight w:val="cyan"/>
          <w:u w:val="single"/>
        </w:rPr>
        <w:t xml:space="preserve">Here we are ten years </w:t>
      </w:r>
      <w:r>
        <w:rPr>
          <w:b w:val="0"/>
          <w:i w:val="0"/>
          <w:smallCaps w:val="0"/>
          <w:strike w:val="0"/>
          <w:sz w:val="22"/>
          <w:highlight w:val="cyan"/>
          <w:u w:val="single"/>
        </w:rPr>
        <w:t>later</w:t>
      </w:r>
      <w:r>
        <w:rPr>
          <w:b w:val="0"/>
          <w:i w:val="0"/>
          <w:smallCaps w:val="0"/>
          <w:strike w:val="0"/>
          <w:sz w:val="22"/>
          <w:highlight w:val="cyan"/>
          <w:u w:val="single"/>
        </w:rPr>
        <w:t xml:space="preserve"> and the sky has most definitely not fallen</w:t>
      </w:r>
      <w:r>
        <w:rPr>
          <w:b w:val="0"/>
          <w:i w:val="0"/>
          <w:smallCaps w:val="0"/>
          <w:strike w:val="0"/>
          <w:sz w:val="22"/>
          <w:u w:val="single"/>
        </w:rPr>
        <w:t xml:space="preserve">. </w:t>
      </w:r>
      <w:r>
        <w:rPr>
          <w:b w:val="0"/>
          <w:i w:val="0"/>
          <w:smallCaps w:val="0"/>
          <w:strike w:val="0"/>
          <w:sz w:val="22"/>
          <w:highlight w:val="cyan"/>
          <w:u w:val="single"/>
        </w:rPr>
        <w:t xml:space="preserve">The life sciences industry has </w:t>
      </w:r>
      <w:r>
        <w:rPr>
          <w:b/>
          <w:i w:val="0"/>
          <w:smallCaps w:val="0"/>
          <w:strike w:val="0"/>
          <w:sz w:val="22"/>
          <w:highlight w:val="cyan"/>
          <w:u w:val="single"/>
        </w:rPr>
        <w:t>thrived</w:t>
      </w:r>
      <w:r>
        <w:rPr>
          <w:b w:val="0"/>
          <w:i w:val="0"/>
          <w:smallCaps w:val="0"/>
          <w:strike w:val="0"/>
          <w:sz w:val="22"/>
          <w:highlight w:val="cyan"/>
          <w:u w:val="single"/>
        </w:rPr>
        <w:t xml:space="preserve">, entire new classes of therapeutics and vaccines have been approved such as </w:t>
      </w:r>
      <w:r>
        <w:rPr>
          <w:b/>
          <w:i w:val="0"/>
          <w:smallCaps w:val="0"/>
          <w:strike w:val="0"/>
          <w:sz w:val="22"/>
          <w:highlight w:val="cyan"/>
          <w:u w:val="single"/>
        </w:rPr>
        <w:t>CRISPR-based gene therapies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the </w:t>
      </w:r>
      <w:r>
        <w:rPr>
          <w:b/>
          <w:i w:val="0"/>
          <w:smallCaps w:val="0"/>
          <w:strike w:val="0"/>
          <w:sz w:val="22"/>
          <w:highlight w:val="cyan"/>
          <w:u w:val="single"/>
        </w:rPr>
        <w:t>RNA vaccines</w:t>
      </w:r>
      <w:r>
        <w:rPr>
          <w:b w:val="0"/>
          <w:i w:val="0"/>
          <w:smallCaps w:val="0"/>
          <w:strike w:val="0"/>
          <w:sz w:val="22"/>
          <w:u w:val="single"/>
        </w:rPr>
        <w:t xml:space="preserve"> </w:t>
      </w:r>
      <w:r>
        <w:rPr>
          <w:b w:val="0"/>
          <w:i w:val="0"/>
          <w:smallCaps w:val="0"/>
          <w:strike w:val="0"/>
          <w:sz w:val="22"/>
          <w:highlight w:val="cyan"/>
          <w:u w:val="single"/>
        </w:rPr>
        <w:t>that are the foundation of the</w:t>
      </w:r>
      <w:r>
        <w:rPr>
          <w:b w:val="0"/>
          <w:i w:val="0"/>
          <w:smallCaps w:val="0"/>
          <w:strike w:val="0"/>
          <w:sz w:val="22"/>
          <w:u w:val="single"/>
        </w:rPr>
        <w:t xml:space="preserve"> nation’s </w:t>
      </w:r>
      <w:r>
        <w:rPr>
          <w:b w:val="0"/>
          <w:i w:val="0"/>
          <w:smallCaps w:val="0"/>
          <w:strike w:val="0"/>
          <w:sz w:val="22"/>
          <w:highlight w:val="cyan"/>
          <w:u w:val="single"/>
        </w:rPr>
        <w:t>response</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the </w:t>
      </w:r>
      <w:r>
        <w:rPr>
          <w:b w:val="0"/>
          <w:i w:val="0"/>
          <w:smallCaps w:val="0"/>
          <w:strike w:val="0"/>
          <w:sz w:val="22"/>
          <w:highlight w:val="cyan"/>
          <w:u w:val="single"/>
        </w:rPr>
        <w:t>COVID</w:t>
      </w:r>
      <w:r>
        <w:rPr>
          <w:b w:val="0"/>
          <w:i w:val="0"/>
          <w:smallCaps w:val="0"/>
          <w:strike w:val="0"/>
          <w:sz w:val="22"/>
          <w:u w:val="single"/>
        </w:rPr>
        <w:t>-19 crisis</w:t>
      </w:r>
      <w:r>
        <w:rPr>
          <w:b w:val="0"/>
          <w:i w:val="0"/>
          <w:smallCaps w:val="0"/>
          <w:strike w:val="0"/>
          <w:u w:val="none"/>
        </w:rPr>
        <w:t xml:space="preserve">.  As discussed below, </w:t>
      </w:r>
      <w:r>
        <w:rPr>
          <w:b w:val="0"/>
          <w:i w:val="0"/>
          <w:smallCaps w:val="0"/>
          <w:strike w:val="0"/>
          <w:sz w:val="22"/>
          <w:highlight w:val="cyan"/>
          <w:u w:val="single"/>
        </w:rPr>
        <w:t xml:space="preserve">the genetic testing industry has </w:t>
      </w:r>
      <w:r>
        <w:rPr>
          <w:b w:val="0"/>
          <w:i w:val="0"/>
          <w:smallCaps w:val="0"/>
          <w:strike w:val="0"/>
          <w:sz w:val="22"/>
          <w:highlight w:val="cyan"/>
          <w:u w:val="single"/>
        </w:rPr>
        <w:t>blossomed</w:t>
      </w:r>
      <w:r>
        <w:rPr>
          <w:b w:val="0"/>
          <w:i w:val="0"/>
          <w:smallCaps w:val="0"/>
          <w:strike w:val="0"/>
          <w:sz w:val="22"/>
          <w:u w:val="single"/>
        </w:rPr>
        <w:t xml:space="preserve"> and we are beginning to reap the fruits of precision medicine </w:t>
      </w:r>
      <w:r>
        <w:rPr>
          <w:b w:val="0"/>
          <w:i w:val="0"/>
          <w:smallCaps w:val="0"/>
          <w:strike w:val="0"/>
          <w:sz w:val="22"/>
          <w:highlight w:val="cyan"/>
          <w:u w:val="single"/>
        </w:rPr>
        <w:t>and will continue to do so unless we take a</w:t>
      </w:r>
      <w:r>
        <w:rPr>
          <w:b w:val="0"/>
          <w:i w:val="0"/>
          <w:smallCaps w:val="0"/>
          <w:strike w:val="0"/>
          <w:sz w:val="22"/>
          <w:u w:val="single"/>
        </w:rPr>
        <w:t xml:space="preserve"> misguided step </w:t>
      </w:r>
      <w:r>
        <w:rPr>
          <w:b w:val="0"/>
          <w:i w:val="0"/>
          <w:smallCaps w:val="0"/>
          <w:strike w:val="0"/>
          <w:sz w:val="22"/>
          <w:highlight w:val="cyan"/>
          <w:u w:val="single"/>
        </w:rPr>
        <w:t>backward by jettisoning the standards for patent subject matter eligibility</w:t>
      </w:r>
      <w:r>
        <w:rPr>
          <w:b w:val="0"/>
          <w:i w:val="0"/>
          <w:smallCaps w:val="0"/>
          <w:strike w:val="0"/>
          <w:sz w:val="22"/>
          <w:u w:val="single"/>
        </w:rPr>
        <w:t xml:space="preserve"> that have been articulated by the Supreme Court</w:t>
      </w:r>
      <w:r>
        <w:rPr>
          <w:b w:val="0"/>
          <w:i w:val="0"/>
          <w:smallCaps w:val="0"/>
          <w:strike w:val="0"/>
          <w:u w:val="none"/>
        </w:rPr>
        <w:t xml:space="preserve"> in the unanimous Mayo, Myriad, and Alice decisions.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