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4"/>
        <w:spacing w:after="60"/>
      </w:pPr>
      <w:r>
        <w:rPr>
          <w:b/>
          <w:i w:val="0"/>
          <w:smallCaps w:val="0"/>
          <w:strike w:val="0"/>
          <w:sz w:val="26"/>
          <w:u w:val="none"/>
        </w:rPr>
        <w:t>Diagnostics innovation is improving rapidly under current jurisprudence</w:t>
      </w:r>
    </w:p>
    <w:p>
      <w:pPr>
        <w:spacing w:after="80"/>
      </w:pPr>
      <w:r>
        <w:rPr>
          <w:b w:val="0"/>
          <w:i w:val="0"/>
          <w:smallCaps w:val="0"/>
          <w:strike w:val="0"/>
          <w:u w:val="none"/>
        </w:rPr>
        <w:t xml:space="preserve">Richard L. </w:t>
      </w:r>
      <w:r>
        <w:rPr>
          <w:b/>
          <w:i w:val="0"/>
          <w:smallCaps w:val="0"/>
          <w:strike w:val="0"/>
          <w:sz w:val="26"/>
          <w:u w:val="none"/>
        </w:rPr>
        <w:t>Blaylock</w:t>
      </w:r>
      <w:r>
        <w:rPr>
          <w:b w:val="0"/>
          <w:i w:val="0"/>
          <w:smallCaps w:val="0"/>
          <w:strike w:val="0"/>
          <w:u w:val="none"/>
        </w:rPr>
        <w:t>, 20</w:t>
      </w:r>
      <w:r>
        <w:rPr>
          <w:b/>
          <w:i w:val="0"/>
          <w:smallCaps w:val="0"/>
          <w:strike w:val="0"/>
          <w:sz w:val="26"/>
          <w:u w:val="none"/>
        </w:rPr>
        <w:t>24</w:t>
      </w:r>
      <w:r>
        <w:rPr>
          <w:b w:val="0"/>
          <w:i w:val="0"/>
          <w:smallCaps w:val="0"/>
          <w:strike w:val="0"/>
          <w:u w:val="none"/>
        </w:rPr>
        <w:t xml:space="preserve"> - partner with the law firm Pillsbury Winthrop Shaw Pittman LLP and have been a practicing intellectual property attorney since the mid-1990s.  Statement Before the Subcommittee on Intellectual Property of the Committee on the Judiciary United States Senate Hearing on The Patent Eligibility Restoration Act – Restoring Clarity, Certainty, and Predictability to the U.S. Patent System, 1/24, </w:t>
      </w:r>
      <w:r>
        <w:rPr>
          <w:b w:val="0"/>
          <w:i w:val="0"/>
          <w:smallCaps w:val="0"/>
          <w:strike w:val="0"/>
          <w:u w:val="none"/>
        </w:rPr>
        <w:t xml:space="preserve"> //DH</w:t>
      </w:r>
    </w:p>
    <w:p>
      <w:pPr>
        <w:spacing w:after="60"/>
      </w:pPr>
      <w:r>
        <w:rPr>
          <w:b w:val="0"/>
          <w:i w:val="0"/>
          <w:smallCaps w:val="0"/>
          <w:strike w:val="0"/>
          <w:u w:val="none"/>
        </w:rPr>
        <w:t xml:space="preserve">The current Supreme Court jurisprudence on patent subject matter eligibility does not impede innovation in the diagnostics industry </w:t>
      </w:r>
    </w:p>
    <w:p>
      <w:pPr>
        <w:spacing w:after="60"/>
      </w:pPr>
      <w:r>
        <w:rPr>
          <w:b w:val="0"/>
          <w:i w:val="0"/>
          <w:smallCaps w:val="0"/>
          <w:strike w:val="0"/>
          <w:u w:val="none"/>
        </w:rPr>
        <w:t xml:space="preserve">As noted above (and discussed more below)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the current state of the law has not impeded the rapid pace of innovation in the discernment and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clinical application biomarkers in the form of genetic variants associated with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certain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disease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risks</w:t>
      </w:r>
      <w:r>
        <w:rPr>
          <w:b w:val="0"/>
          <w:i w:val="0"/>
          <w:smallCaps w:val="0"/>
          <w:strike w:val="0"/>
          <w:u w:val="none"/>
        </w:rPr>
        <w:t xml:space="preserve"> and suitability for certain treatment regimens thereby advancing the progress of personalized medicine. 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Nor is genuine innovation in the diagnostic industry itself threatened by the current state of the patent subject matter eligibility</w:t>
      </w:r>
      <w:r>
        <w:rPr>
          <w:b w:val="0"/>
          <w:i w:val="0"/>
          <w:smallCaps w:val="0"/>
          <w:strike w:val="0"/>
          <w:sz w:val="22"/>
          <w:u w:val="single"/>
        </w:rPr>
        <w:t>.</w:t>
      </w:r>
      <w:r>
        <w:rPr>
          <w:b w:val="0"/>
          <w:i w:val="0"/>
          <w:smallCaps w:val="0"/>
          <w:strike w:val="0"/>
          <w:u w:val="none"/>
        </w:rPr>
        <w:t xml:space="preserve"> 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The exclusion of natural phenomena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, natural materials, and abstract ideas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from patenting in no way has stopped the patenting of innovations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in the machinery and techniques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for genetic sequencing or the development of new platforms for diagnostic testing</w:t>
      </w:r>
      <w:r>
        <w:rPr>
          <w:b w:val="0"/>
          <w:i w:val="0"/>
          <w:smallCaps w:val="0"/>
          <w:strike w:val="0"/>
          <w:u w:val="none"/>
        </w:rPr>
        <w:t xml:space="preserve">.  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It is only </w:t>
      </w:r>
      <w:r>
        <w:rPr>
          <w:b w:val="0"/>
          <w:i w:val="0"/>
          <w:smallCaps w:val="0"/>
          <w:strike w:val="0"/>
          <w:sz w:val="22"/>
          <w:u w:val="single"/>
        </w:rPr>
        <w:t>the natural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phenomena and natural materials</w:t>
      </w:r>
      <w:r>
        <w:rPr>
          <w:b w:val="0"/>
          <w:i w:val="0"/>
          <w:smallCaps w:val="0"/>
          <w:strike w:val="0"/>
          <w:u w:val="none"/>
        </w:rPr>
        <w:t xml:space="preserve">, which </w:t>
      </w:r>
      <w:r>
        <w:rPr>
          <w:b w:val="0"/>
          <w:i w:val="0"/>
          <w:smallCaps w:val="0"/>
          <w:strike w:val="0"/>
          <w:u w:val="none"/>
        </w:rPr>
        <w:t>by definition are</w:t>
      </w:r>
      <w:r>
        <w:rPr>
          <w:b w:val="0"/>
          <w:i w:val="0"/>
          <w:smallCaps w:val="0"/>
          <w:strike w:val="0"/>
          <w:u w:val="none"/>
        </w:rPr>
        <w:t xml:space="preserve"> not inventions, </w:t>
      </w:r>
      <w:r>
        <w:rPr>
          <w:b w:val="0"/>
          <w:i w:val="0"/>
          <w:smallCaps w:val="0"/>
          <w:strike w:val="0"/>
          <w:sz w:val="22"/>
          <w:u w:val="single"/>
        </w:rPr>
        <w:t>which are excluded</w:t>
      </w:r>
      <w:r>
        <w:rPr>
          <w:b w:val="0"/>
          <w:i w:val="0"/>
          <w:smallCaps w:val="0"/>
          <w:strike w:val="0"/>
          <w:u w:val="none"/>
        </w:rPr>
        <w:t xml:space="preserve">.  They should be viewed as pre-competitive information available to all for use in the creation of actual innovations that productively exploit such new knowledge.   </w:t>
      </w:r>
    </w:p>
    <w:p>
      <w:pPr>
        <w:pStyle w:val="Caption"/>
      </w:pPr>
      <w:r>
        <w:t>Source: Patent Eligibility Neg - Michigan 2024 STARTER · Michigan · 2024</w:t>
      </w:r>
    </w:p>
    <w:sectPr w:rsidR="00FC693F" w:rsidRPr="0006063C" w:rsidSect="00034616">
      <w:pgSz w:w="12240" w:h="15840"/>
      <w:pgMar w:top="720" w:right="840" w:bottom="720" w:left="8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