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 thickets have a greater negative effect on investors than eligibility concerns – empirically</w:t>
      </w:r>
    </w:p>
    <w:p>
      <w:pPr>
        <w:spacing w:after="80"/>
      </w:pPr>
      <w:r>
        <w:rPr>
          <w:b w:val="0"/>
          <w:i w:val="0"/>
          <w:smallCaps w:val="0"/>
          <w:strike w:val="0"/>
          <w:u w:val="none"/>
        </w:rPr>
        <w:t xml:space="preserve">Richard L. </w:t>
      </w:r>
      <w:r>
        <w:rPr>
          <w:b/>
          <w:i w:val="0"/>
          <w:smallCaps w:val="0"/>
          <w:strike w:val="0"/>
          <w:sz w:val="26"/>
          <w:u w:val="none"/>
        </w:rPr>
        <w:t>Blaylock</w:t>
      </w:r>
      <w:r>
        <w:rPr>
          <w:b w:val="0"/>
          <w:i w:val="0"/>
          <w:smallCaps w:val="0"/>
          <w:strike w:val="0"/>
          <w:u w:val="none"/>
        </w:rPr>
        <w:t>, 20</w:t>
      </w:r>
      <w:r>
        <w:rPr>
          <w:b/>
          <w:i w:val="0"/>
          <w:smallCaps w:val="0"/>
          <w:strike w:val="0"/>
          <w:sz w:val="26"/>
          <w:u w:val="none"/>
        </w:rPr>
        <w:t>24</w:t>
      </w:r>
      <w:r>
        <w:rPr>
          <w:b w:val="0"/>
          <w:i w:val="0"/>
          <w:smallCaps w:val="0"/>
          <w:strike w:val="0"/>
          <w:u w:val="none"/>
        </w:rP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r>
        <w:rPr>
          <w:b w:val="0"/>
          <w:i w:val="0"/>
          <w:smallCaps w:val="0"/>
          <w:strike w:val="0"/>
          <w:u w:val="none"/>
        </w:rPr>
        <w:t xml:space="preserve"> //DH</w:t>
      </w:r>
    </w:p>
    <w:p>
      <w:pPr>
        <w:spacing w:after="60"/>
      </w:pPr>
      <w:r>
        <w:rPr>
          <w:b w:val="0"/>
          <w:i w:val="0"/>
          <w:smallCaps w:val="0"/>
          <w:strike w:val="0"/>
          <w:u w:val="none"/>
        </w:rPr>
        <w:t>Invitae’s</w:t>
      </w:r>
      <w:r>
        <w:rPr>
          <w:b w:val="0"/>
          <w:i w:val="0"/>
          <w:smallCaps w:val="0"/>
          <w:strike w:val="0"/>
          <w:u w:val="none"/>
        </w:rPr>
        <w:t xml:space="preserve"> former CEO, Dr. Sean George, testified before the Senate Judiciary Committee’s Subcommittee on Intellectual Property on the State of Patent Eligibility in America in June 2019.  In his written testimony, he shared that </w:t>
      </w:r>
      <w:r>
        <w:rPr>
          <w:b w:val="0"/>
          <w:i w:val="0"/>
          <w:smallCaps w:val="0"/>
          <w:strike w:val="0"/>
          <w:sz w:val="22"/>
          <w:highlight w:val="cyan"/>
          <w:u w:val="single"/>
        </w:rPr>
        <w:t xml:space="preserve">in 2012, </w:t>
      </w:r>
      <w:r>
        <w:rPr>
          <w:b w:val="0"/>
          <w:i w:val="0"/>
          <w:smallCaps w:val="0"/>
          <w:strike w:val="0"/>
          <w:sz w:val="22"/>
          <w:highlight w:val="cyan"/>
          <w:u w:val="single"/>
        </w:rPr>
        <w:t>Invitae</w:t>
      </w:r>
      <w:r>
        <w:rPr>
          <w:b w:val="0"/>
          <w:i w:val="0"/>
          <w:smallCaps w:val="0"/>
          <w:strike w:val="0"/>
          <w:sz w:val="22"/>
          <w:highlight w:val="cyan"/>
          <w:u w:val="single"/>
        </w:rPr>
        <w:t xml:space="preserve"> was turned down by hundreds of investors</w:t>
      </w:r>
      <w:r>
        <w:rPr>
          <w:b w:val="0"/>
          <w:i w:val="0"/>
          <w:smallCaps w:val="0"/>
          <w:strike w:val="0"/>
          <w:u w:val="none"/>
        </w:rPr>
        <w:t xml:space="preserve"> who said its goal to offer a comprehensive menu of the world’s medical genetic tests at lower prices would never work </w:t>
      </w:r>
      <w:r>
        <w:rPr>
          <w:b w:val="0"/>
          <w:i w:val="0"/>
          <w:smallCaps w:val="0"/>
          <w:strike w:val="0"/>
          <w:sz w:val="22"/>
          <w:highlight w:val="cyan"/>
          <w:u w:val="single"/>
        </w:rPr>
        <w:t xml:space="preserve">for one reason: the </w:t>
      </w:r>
      <w:r>
        <w:rPr>
          <w:b/>
          <w:i w:val="0"/>
          <w:smallCaps w:val="0"/>
          <w:strike w:val="0"/>
          <w:sz w:val="22"/>
          <w:highlight w:val="cyan"/>
          <w:u w:val="single"/>
        </w:rPr>
        <w:t>DNA patent thicket</w:t>
      </w:r>
      <w:r>
        <w:rPr>
          <w:b w:val="0"/>
          <w:i w:val="0"/>
          <w:smallCaps w:val="0"/>
          <w:strike w:val="0"/>
          <w:sz w:val="22"/>
          <w:u w:val="single"/>
        </w:rPr>
        <w:t>.</w:t>
      </w:r>
      <w:r>
        <w:rPr>
          <w:b w:val="0"/>
          <w:i w:val="0"/>
          <w:smallCaps w:val="0"/>
          <w:strike w:val="0"/>
          <w:u w:val="none"/>
        </w:rPr>
        <w:t xml:space="preserve"> </w:t>
      </w:r>
      <w:r>
        <w:rPr>
          <w:b w:val="0"/>
          <w:i w:val="0"/>
          <w:smallCaps w:val="0"/>
          <w:strike w:val="0"/>
          <w:sz w:val="22"/>
          <w:highlight w:val="cyan"/>
          <w:u w:val="single"/>
        </w:rPr>
        <w:t>Since the Myriad decision</w:t>
      </w:r>
      <w:r>
        <w:rPr>
          <w:b w:val="0"/>
          <w:i w:val="0"/>
          <w:smallCaps w:val="0"/>
          <w:strike w:val="0"/>
          <w:u w:val="none"/>
        </w:rPr>
        <w:t xml:space="preserve"> in 2013 </w:t>
      </w:r>
      <w:r>
        <w:rPr>
          <w:b w:val="0"/>
          <w:i w:val="0"/>
          <w:smallCaps w:val="0"/>
          <w:strike w:val="0"/>
          <w:sz w:val="22"/>
          <w:highlight w:val="cyan"/>
          <w:u w:val="single"/>
        </w:rPr>
        <w:t xml:space="preserve">eliminated that barrier, venture capital funding in genetic testing companies has </w:t>
      </w:r>
      <w:r>
        <w:rPr>
          <w:b/>
          <w:i w:val="0"/>
          <w:smallCaps w:val="0"/>
          <w:strike w:val="0"/>
          <w:sz w:val="22"/>
          <w:highlight w:val="cyan"/>
          <w:u w:val="single"/>
        </w:rPr>
        <w:t>ballooned</w:t>
      </w:r>
      <w:r>
        <w:rPr>
          <w:b w:val="0"/>
          <w:i w:val="0"/>
          <w:smallCaps w:val="0"/>
          <w:strike w:val="0"/>
          <w:u w:val="none"/>
        </w:rPr>
        <w:t xml:space="preserve">.  Examining the </w:t>
      </w:r>
      <w:r>
        <w:rPr>
          <w:b w:val="0"/>
          <w:i w:val="0"/>
          <w:smallCaps w:val="0"/>
          <w:strike w:val="0"/>
          <w:sz w:val="22"/>
          <w:highlight w:val="cyan"/>
          <w:u w:val="single"/>
        </w:rPr>
        <w:t>venture capital investments</w:t>
      </w:r>
      <w:r>
        <w:rPr>
          <w:b w:val="0"/>
          <w:i w:val="0"/>
          <w:smallCaps w:val="0"/>
          <w:strike w:val="0"/>
          <w:u w:val="none"/>
        </w:rPr>
        <w:t xml:space="preserve"> in companies prior to their initial public offering, the funding </w:t>
      </w:r>
      <w:r>
        <w:rPr>
          <w:b/>
          <w:i w:val="0"/>
          <w:smallCaps w:val="0"/>
          <w:strike w:val="0"/>
          <w:sz w:val="22"/>
          <w:highlight w:val="cyan"/>
          <w:u w:val="single"/>
        </w:rPr>
        <w:t xml:space="preserve">more than tripled </w:t>
      </w:r>
      <w:r>
        <w:rPr>
          <w:b w:val="0"/>
          <w:i w:val="0"/>
          <w:smallCaps w:val="0"/>
          <w:strike w:val="0"/>
          <w:sz w:val="22"/>
          <w:highlight w:val="cyan"/>
          <w:u w:val="single"/>
        </w:rPr>
        <w:t>three years later</w:t>
      </w:r>
      <w:r>
        <w:rPr>
          <w:b w:val="0"/>
          <w:i w:val="0"/>
          <w:smallCaps w:val="0"/>
          <w:strike w:val="0"/>
          <w:u w:val="none"/>
        </w:rPr>
        <w:t xml:space="preserve"> to a peak in 2015 at $419 million.   These companies are widely respected and considered industry leaders in genomic testing: Adaptive Biotechnologies Corporation (2020-2021), </w:t>
      </w:r>
      <w:r>
        <w:rPr>
          <w:b w:val="0"/>
          <w:i w:val="0"/>
          <w:smallCaps w:val="0"/>
          <w:strike w:val="0"/>
          <w:u w:val="none"/>
        </w:rPr>
        <w:t>CareDx</w:t>
      </w:r>
      <w:r>
        <w:rPr>
          <w:b w:val="0"/>
          <w:i w:val="0"/>
          <w:smallCaps w:val="0"/>
          <w:strike w:val="0"/>
          <w:u w:val="none"/>
        </w:rPr>
        <w:t xml:space="preserve">, Inc. (2015-2021), Castle Biosciences, Inc. (2020-2021), Exact Sciences Corporation (2009-2021), </w:t>
      </w:r>
      <w:r>
        <w:rPr>
          <w:b w:val="0"/>
          <w:i w:val="0"/>
          <w:smallCaps w:val="0"/>
          <w:strike w:val="0"/>
          <w:u w:val="none"/>
        </w:rPr>
        <w:t>Exagen</w:t>
      </w:r>
      <w:r>
        <w:rPr>
          <w:b w:val="0"/>
          <w:i w:val="0"/>
          <w:smallCaps w:val="0"/>
          <w:strike w:val="0"/>
          <w:u w:val="none"/>
        </w:rPr>
        <w:t xml:space="preserve">, Inc. (20202021), Guardant Health, Inc. (2019-2021), Hologic, Inc. (2012-2020), </w:t>
      </w:r>
      <w:r>
        <w:rPr>
          <w:b w:val="0"/>
          <w:i w:val="0"/>
          <w:smallCaps w:val="0"/>
          <w:strike w:val="0"/>
          <w:u w:val="none"/>
        </w:rPr>
        <w:t>Invitae</w:t>
      </w:r>
      <w:r>
        <w:rPr>
          <w:b w:val="0"/>
          <w:i w:val="0"/>
          <w:smallCaps w:val="0"/>
          <w:strike w:val="0"/>
          <w:u w:val="none"/>
        </w:rPr>
        <w:t xml:space="preserve"> Corporation (20152021), Myriad Genetics, Inc. (2009-2020), Natera, Inc. (2016-2021), </w:t>
      </w:r>
      <w:r>
        <w:rPr>
          <w:b w:val="0"/>
          <w:i w:val="0"/>
          <w:smallCaps w:val="0"/>
          <w:strike w:val="0"/>
          <w:u w:val="none"/>
        </w:rPr>
        <w:t>NeoGenomics</w:t>
      </w:r>
      <w:r>
        <w:rPr>
          <w:b w:val="0"/>
          <w:i w:val="0"/>
          <w:smallCaps w:val="0"/>
          <w:strike w:val="0"/>
          <w:u w:val="none"/>
        </w:rPr>
        <w:t xml:space="preserve"> Laboratories, Inc. (2009-2021), </w:t>
      </w:r>
      <w:r>
        <w:rPr>
          <w:b w:val="0"/>
          <w:i w:val="0"/>
          <w:smallCaps w:val="0"/>
          <w:strike w:val="0"/>
          <w:u w:val="none"/>
        </w:rPr>
        <w:t>Veracyte</w:t>
      </w:r>
      <w:r>
        <w:rPr>
          <w:b w:val="0"/>
          <w:i w:val="0"/>
          <w:smallCaps w:val="0"/>
          <w:strike w:val="0"/>
          <w:u w:val="none"/>
        </w:rPr>
        <w:t xml:space="preserve">, Inc. (2014-2021). (Note: parentheticals indicate years for which data is provided for each company; “N.D.” means no data from any company for that year).  </w:t>
      </w:r>
    </w:p>
    <w:p>
      <w:pPr>
        <w:spacing w:after="60"/>
      </w:pPr>
      <w:r>
        <w:rPr>
          <w:b w:val="0"/>
          <w:i w:val="0"/>
          <w:smallCaps w:val="0"/>
          <w:strike w:val="0"/>
          <w:sz w:val="22"/>
          <w:u w:val="single"/>
        </w:rPr>
        <w:t xml:space="preserve">In the years after the Supreme Court’s decisions giving rise to the current patent eligibility jurisprudence, venture capital funding for private genetic testing companies showed similar growth.  </w:t>
      </w:r>
      <w:r>
        <w:rPr>
          <w:b w:val="0"/>
          <w:i w:val="0"/>
          <w:smallCaps w:val="0"/>
          <w:strike w:val="0"/>
          <w:u w:val="none"/>
        </w:rPr>
        <w:t xml:space="preserve">As shown below, </w:t>
      </w:r>
      <w:r>
        <w:rPr>
          <w:b w:val="0"/>
          <w:i w:val="0"/>
          <w:smallCaps w:val="0"/>
          <w:strike w:val="0"/>
          <w:sz w:val="22"/>
          <w:highlight w:val="cyan"/>
          <w:u w:val="single"/>
        </w:rPr>
        <w:t>aggregate data</w:t>
      </w:r>
      <w:r>
        <w:rPr>
          <w:b w:val="0"/>
          <w:i w:val="0"/>
          <w:smallCaps w:val="0"/>
          <w:strike w:val="0"/>
          <w:u w:val="none"/>
        </w:rPr>
        <w:t xml:space="preserve"> for </w:t>
      </w:r>
      <w:r>
        <w:rPr>
          <w:b w:val="0"/>
          <w:i w:val="0"/>
          <w:smallCaps w:val="0"/>
          <w:strike w:val="0"/>
          <w:u w:val="none"/>
        </w:rPr>
        <w:t>BioTheranostics</w:t>
      </w:r>
      <w:r>
        <w:rPr>
          <w:b w:val="0"/>
          <w:i w:val="0"/>
          <w:smallCaps w:val="0"/>
          <w:strike w:val="0"/>
          <w:u w:val="none"/>
        </w:rPr>
        <w:t xml:space="preserve">, Inc., Caris Life Sciences, </w:t>
      </w:r>
      <w:r>
        <w:rPr>
          <w:b w:val="0"/>
          <w:i w:val="0"/>
          <w:smallCaps w:val="0"/>
          <w:strike w:val="0"/>
          <w:u w:val="none"/>
        </w:rPr>
        <w:t>Cernostics</w:t>
      </w:r>
      <w:r>
        <w:rPr>
          <w:b w:val="0"/>
          <w:i w:val="0"/>
          <w:smallCaps w:val="0"/>
          <w:strike w:val="0"/>
          <w:u w:val="none"/>
        </w:rPr>
        <w:t xml:space="preserve">, </w:t>
      </w:r>
      <w:r>
        <w:rPr>
          <w:b w:val="0"/>
          <w:i w:val="0"/>
          <w:smallCaps w:val="0"/>
          <w:strike w:val="0"/>
          <w:u w:val="none"/>
        </w:rPr>
        <w:t>Freenome</w:t>
      </w:r>
      <w:r>
        <w:rPr>
          <w:b w:val="0"/>
          <w:i w:val="0"/>
          <w:smallCaps w:val="0"/>
          <w:strike w:val="0"/>
          <w:u w:val="none"/>
        </w:rPr>
        <w:t xml:space="preserve">, and </w:t>
      </w:r>
      <w:r>
        <w:rPr>
          <w:b w:val="0"/>
          <w:i w:val="0"/>
          <w:smallCaps w:val="0"/>
          <w:strike w:val="0"/>
          <w:u w:val="none"/>
        </w:rPr>
        <w:t>Inivata</w:t>
      </w:r>
      <w:r>
        <w:rPr>
          <w:b w:val="0"/>
          <w:i w:val="0"/>
          <w:smallCaps w:val="0"/>
          <w:strike w:val="0"/>
          <w:u w:val="none"/>
        </w:rPr>
        <w:t xml:space="preserve">, Inc. </w:t>
      </w:r>
      <w:r>
        <w:rPr>
          <w:b w:val="0"/>
          <w:i w:val="0"/>
          <w:smallCaps w:val="0"/>
          <w:strike w:val="0"/>
          <w:sz w:val="22"/>
          <w:highlight w:val="cyan"/>
          <w:u w:val="single"/>
        </w:rPr>
        <w:t>experienced</w:t>
      </w:r>
      <w:r>
        <w:rPr>
          <w:b w:val="0"/>
          <w:i w:val="0"/>
          <w:smallCaps w:val="0"/>
          <w:strike w:val="0"/>
          <w:u w:val="none"/>
        </w:rPr>
        <w:t xml:space="preserve"> </w:t>
      </w:r>
      <w:r>
        <w:rPr>
          <w:b w:val="0"/>
          <w:i w:val="0"/>
          <w:smallCaps w:val="0"/>
          <w:strike w:val="0"/>
          <w:sz w:val="22"/>
          <w:u w:val="single"/>
        </w:rPr>
        <w:t xml:space="preserve">almost </w:t>
      </w:r>
      <w:r>
        <w:rPr>
          <w:b w:val="0"/>
          <w:i w:val="0"/>
          <w:smallCaps w:val="0"/>
          <w:strike w:val="0"/>
          <w:sz w:val="22"/>
          <w:highlight w:val="cyan"/>
          <w:u w:val="single"/>
        </w:rPr>
        <w:t xml:space="preserve">a </w:t>
      </w:r>
      <w:r>
        <w:rPr>
          <w:b/>
          <w:i w:val="0"/>
          <w:smallCaps w:val="0"/>
          <w:strike w:val="0"/>
          <w:sz w:val="22"/>
          <w:highlight w:val="cyan"/>
          <w:u w:val="single"/>
        </w:rPr>
        <w:t>300 fold</w:t>
      </w:r>
      <w:r>
        <w:rPr>
          <w:b/>
          <w:i w:val="0"/>
          <w:smallCaps w:val="0"/>
          <w:strike w:val="0"/>
          <w:sz w:val="22"/>
          <w:highlight w:val="cyan"/>
          <w:u w:val="single"/>
        </w:rPr>
        <w:t xml:space="preserve"> increase</w:t>
      </w:r>
      <w:r>
        <w:rPr>
          <w:b w:val="0"/>
          <w:i w:val="0"/>
          <w:smallCaps w:val="0"/>
          <w:strike w:val="0"/>
          <w:sz w:val="22"/>
          <w:u w:val="single"/>
        </w:rPr>
        <w:t>.</w:t>
      </w:r>
    </w:p>
    <w:p>
      <w:pPr>
        <w:spacing w:after="60"/>
      </w:pPr>
      <w:r>
        <w:rPr>
          <w:b w:val="0"/>
          <w:i w:val="0"/>
          <w:smallCaps w:val="0"/>
          <w:strike w:val="0"/>
          <w:sz w:val="22"/>
          <w:highlight w:val="cyan"/>
          <w:u w:val="single"/>
        </w:rPr>
        <w:t>Expanding to</w:t>
      </w:r>
      <w:r>
        <w:rPr>
          <w:b w:val="0"/>
          <w:i w:val="0"/>
          <w:smallCaps w:val="0"/>
          <w:strike w:val="0"/>
          <w:sz w:val="22"/>
          <w:highlight w:val="cyan"/>
          <w:u w:val="single"/>
        </w:rPr>
        <w:t xml:space="preserve"> healthcare more broadly, venture capital investments have also increased each year since the Supreme Court decisions</w:t>
      </w:r>
      <w:r>
        <w:rPr>
          <w:b w:val="0"/>
          <w:i w:val="0"/>
          <w:smallCaps w:val="0"/>
          <w:strike w:val="0"/>
          <w:sz w:val="22"/>
          <w:u w:val="single"/>
        </w:rPr>
        <w:t>. It’s also increasing at a faster rate in comparison to some other sectors such as financial services</w:t>
      </w:r>
      <w:r>
        <w:rPr>
          <w:b w:val="0"/>
          <w:i w:val="0"/>
          <w:smallCaps w:val="0"/>
          <w:strike w:val="0"/>
          <w:u w:val="none"/>
        </w:rPr>
        <w:t xml:space="preserve">.  </w:t>
      </w:r>
    </w:p>
    <w:p>
      <w:pPr>
        <w:spacing w:after="60"/>
      </w:pPr>
      <w:r>
        <w:rPr>
          <w:b w:val="0"/>
          <w:i w:val="0"/>
          <w:smallCaps w:val="0"/>
          <w:strike w:val="0"/>
          <w:u w:val="none"/>
        </w:rPr>
        <w:t xml:space="preserve">When we examined data on research and development in the US-based diagnostics industry, we found that investment increased in the years following the Supreme Court decisions on patent eligibility.  Specifically, as noted in the 10-K filings from the twelve publicly traded genetic testing companies discussed above, spending in research and development has dramatically increased since 2018.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