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PERA overturns Myriad and allows patenting isolated or enriched genes</w:t>
      </w:r>
    </w:p>
    <w:p>
      <w:pPr>
        <w:spacing w:after="80"/>
      </w:pPr>
      <w:r>
        <w:rPr>
          <w:b w:val="0"/>
          <w:i w:val="0"/>
          <w:smallCaps w:val="0"/>
          <w:strike w:val="0"/>
          <w:u w:val="none"/>
        </w:rPr>
        <w:t xml:space="preserve">Jorge L. </w:t>
      </w:r>
      <w:r>
        <w:rPr>
          <w:b/>
          <w:i w:val="0"/>
          <w:smallCaps w:val="0"/>
          <w:strike w:val="0"/>
          <w:sz w:val="26"/>
          <w:u w:val="none"/>
        </w:rPr>
        <w:t>Contreras,</w:t>
      </w:r>
      <w:r>
        <w:rPr>
          <w:b w:val="0"/>
          <w:i w:val="0"/>
          <w:smallCaps w:val="0"/>
          <w:strike w:val="0"/>
          <w:u w:val="none"/>
        </w:rPr>
        <w:t xml:space="preserve"> 20</w:t>
      </w:r>
      <w:r>
        <w:rPr>
          <w:b/>
          <w:i w:val="0"/>
          <w:smallCaps w:val="0"/>
          <w:strike w:val="0"/>
          <w:sz w:val="26"/>
          <w:u w:val="none"/>
        </w:rPr>
        <w:t>23</w:t>
      </w:r>
      <w:r>
        <w:rPr>
          <w:b w:val="0"/>
          <w:i w:val="0"/>
          <w:smallCaps w:val="0"/>
          <w:strike w:val="0"/>
          <w:u w:val="none"/>
        </w:rP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r>
        <w:rPr>
          <w:b w:val="0"/>
          <w:i w:val="0"/>
          <w:smallCaps w:val="0"/>
          <w:strike w:val="0"/>
          <w:u w:val="none"/>
        </w:rPr>
        <w:t>“ PATHOGEN</w:t>
      </w:r>
      <w:r>
        <w:rPr>
          <w:b w:val="0"/>
          <w:i w:val="0"/>
          <w:smallCaps w:val="0"/>
          <w:strike w:val="0"/>
          <w:u w:val="none"/>
        </w:rPr>
        <w:t xml:space="preserve"> GENOMES AS GLOBAL PUBLIC GOODS (AND WHY THEY SHOULD NOT BE PATENTED)”, 55 N.Y.U. J. Int'l L. &amp; Pol. 533, Nexis Uni, Accessed via University of Michigan //DH</w:t>
      </w:r>
    </w:p>
    <w:p>
      <w:pPr>
        <w:spacing w:after="60"/>
      </w:pPr>
      <w:r>
        <w:rPr>
          <w:b w:val="0"/>
          <w:i w:val="0"/>
          <w:smallCaps w:val="0"/>
          <w:strike w:val="0"/>
          <w:u w:val="none"/>
        </w:rPr>
        <w:t xml:space="preserve">Critics have portrayed the Myriad decision as contributing to the elimination of patents for genetic diagnostic products— a potentially devastating result for the genetic diagnostics industry.54 The emergence of the COVID-19 pandemic led to renewed calls for increased patent protection of biomedical discoveries. As a result, </w:t>
      </w:r>
      <w:r>
        <w:rPr>
          <w:b w:val="0"/>
          <w:i w:val="0"/>
          <w:smallCaps w:val="0"/>
          <w:strike w:val="0"/>
          <w:sz w:val="22"/>
          <w:u w:val="single"/>
        </w:rPr>
        <w:t xml:space="preserve">advocates of stronger patent protection have </w:t>
      </w:r>
      <w:r>
        <w:rPr>
          <w:b w:val="0"/>
          <w:i w:val="0"/>
          <w:smallCaps w:val="0"/>
          <w:strike w:val="0"/>
          <w:u w:val="none"/>
        </w:rPr>
        <w:t xml:space="preserve">repeatedly </w:t>
      </w:r>
      <w:r>
        <w:rPr>
          <w:b w:val="0"/>
          <w:i w:val="0"/>
          <w:smallCaps w:val="0"/>
          <w:strike w:val="0"/>
          <w:sz w:val="22"/>
          <w:u w:val="single"/>
        </w:rPr>
        <w:t>sought to overturn the Myriad decision</w:t>
      </w:r>
      <w:r>
        <w:rPr>
          <w:b w:val="0"/>
          <w:i w:val="0"/>
          <w:smallCaps w:val="0"/>
          <w:strike w:val="0"/>
          <w:u w:val="none"/>
        </w:rPr>
        <w:t xml:space="preserve"> through legislative means.55</w:t>
      </w:r>
    </w:p>
    <w:p>
      <w:pPr>
        <w:spacing w:after="60"/>
      </w:pPr>
      <w:r>
        <w:rPr>
          <w:b w:val="0"/>
          <w:i w:val="0"/>
          <w:smallCaps w:val="0"/>
          <w:strike w:val="0"/>
          <w:u w:val="none"/>
        </w:rPr>
        <w:t xml:space="preserve">In 2022, Senator Thom Tillis (R-NC) introduced </w:t>
      </w:r>
      <w:r>
        <w:rPr>
          <w:b w:val="0"/>
          <w:i w:val="0"/>
          <w:smallCaps w:val="0"/>
          <w:strike w:val="0"/>
          <w:sz w:val="22"/>
          <w:highlight w:val="cyan"/>
          <w:u w:val="single"/>
        </w:rPr>
        <w:t>the Patent Eligibility Restoration Act</w:t>
      </w:r>
      <w:r>
        <w:rPr>
          <w:b w:val="0"/>
          <w:i w:val="0"/>
          <w:smallCaps w:val="0"/>
          <w:strike w:val="0"/>
          <w:u w:val="none"/>
        </w:rPr>
        <w:t xml:space="preserve"> - a bill that, if enacted, </w:t>
      </w:r>
      <w:r>
        <w:rPr>
          <w:b w:val="0"/>
          <w:i w:val="0"/>
          <w:smallCaps w:val="0"/>
          <w:strike w:val="0"/>
          <w:u w:val="none"/>
        </w:rPr>
        <w:t>would explicitly overturn the Supreme Court's ruling in Myriad and other patent eligibility cases.56 The proposed Act</w:t>
      </w:r>
      <w:r>
        <w:rPr>
          <w:b w:val="0"/>
          <w:i w:val="0"/>
          <w:smallCaps w:val="0"/>
          <w:strike w:val="0"/>
          <w:sz w:val="22"/>
          <w:u w:val="single"/>
        </w:rPr>
        <w:t xml:space="preserve"> </w:t>
      </w:r>
      <w:r>
        <w:rPr>
          <w:b w:val="0"/>
          <w:i w:val="0"/>
          <w:smallCaps w:val="0"/>
          <w:strike w:val="0"/>
          <w:sz w:val="22"/>
          <w:highlight w:val="cyan"/>
          <w:u w:val="single"/>
        </w:rPr>
        <w:t>would expressly allow patenting of "a human gene or natural material that is isolated, purified, enriched, or otherwise altered</w:t>
      </w:r>
      <w:r>
        <w:rPr>
          <w:b w:val="0"/>
          <w:i w:val="0"/>
          <w:smallCaps w:val="0"/>
          <w:strike w:val="0"/>
          <w:sz w:val="22"/>
          <w:u w:val="single"/>
        </w:rPr>
        <w:t xml:space="preserve"> by human activity</w:t>
      </w:r>
      <w:r>
        <w:rPr>
          <w:b w:val="0"/>
          <w:i w:val="0"/>
          <w:smallCaps w:val="0"/>
          <w:strike w:val="0"/>
          <w:u w:val="none"/>
        </w:rPr>
        <w:t xml:space="preserve">."57 </w:t>
      </w:r>
      <w:r>
        <w:rPr>
          <w:b w:val="0"/>
          <w:i w:val="0"/>
          <w:smallCaps w:val="0"/>
          <w:strike w:val="0"/>
          <w:sz w:val="22"/>
          <w:highlight w:val="cyan"/>
          <w:u w:val="single"/>
        </w:rPr>
        <w:t>The result would</w:t>
      </w:r>
      <w:r>
        <w:rPr>
          <w:b w:val="0"/>
          <w:i w:val="0"/>
          <w:smallCaps w:val="0"/>
          <w:strike w:val="0"/>
          <w:u w:val="none"/>
        </w:rPr>
        <w:t xml:space="preserve"> directly </w:t>
      </w:r>
      <w:r>
        <w:rPr>
          <w:b w:val="0"/>
          <w:i w:val="0"/>
          <w:smallCaps w:val="0"/>
          <w:strike w:val="0"/>
          <w:sz w:val="22"/>
          <w:highlight w:val="cyan"/>
          <w:u w:val="single"/>
        </w:rPr>
        <w:t>negate the</w:t>
      </w:r>
      <w:r>
        <w:rPr>
          <w:b w:val="0"/>
          <w:i w:val="0"/>
          <w:smallCaps w:val="0"/>
          <w:strike w:val="0"/>
          <w:u w:val="none"/>
        </w:rPr>
        <w:t xml:space="preserve"> Supreme </w:t>
      </w:r>
      <w:r>
        <w:rPr>
          <w:b w:val="0"/>
          <w:i w:val="0"/>
          <w:smallCaps w:val="0"/>
          <w:strike w:val="0"/>
          <w:sz w:val="22"/>
          <w:highlight w:val="cyan"/>
          <w:u w:val="single"/>
        </w:rPr>
        <w:t>Court's holding in Myriad</w:t>
      </w:r>
      <w:r>
        <w:rPr>
          <w:b w:val="0"/>
          <w:i w:val="0"/>
          <w:smallCaps w:val="0"/>
          <w:strike w:val="0"/>
          <w:u w:val="none"/>
        </w:rPr>
        <w:t xml:space="preserve"> that "genes and the information they encode are not patent eligible under §101 simply because they have been isolated from the surrounding genetic material."58 Accordingly, </w:t>
      </w:r>
      <w:r>
        <w:rPr>
          <w:b w:val="0"/>
          <w:i w:val="0"/>
          <w:smallCaps w:val="0"/>
          <w:strike w:val="0"/>
          <w:sz w:val="22"/>
          <w:highlight w:val="cyan"/>
          <w:u w:val="single"/>
        </w:rPr>
        <w:t>the Act attempts to return pathogenic and other non-human genomic sequences</w:t>
      </w:r>
      <w:r>
        <w:rPr>
          <w:b w:val="0"/>
          <w:i w:val="0"/>
          <w:smallCaps w:val="0"/>
          <w:strike w:val="0"/>
          <w:u w:val="none"/>
        </w:rPr>
        <w:t xml:space="preserve">, as well as  [*547] newly-discovered human genetic variants,59 </w:t>
      </w:r>
      <w:r>
        <w:rPr>
          <w:b w:val="0"/>
          <w:i w:val="0"/>
          <w:smallCaps w:val="0"/>
          <w:strike w:val="0"/>
          <w:sz w:val="22"/>
          <w:highlight w:val="cyan"/>
          <w:u w:val="single"/>
        </w:rPr>
        <w:t>back to the category of patentable subject matte</w:t>
      </w:r>
      <w:r>
        <w:rPr>
          <w:b w:val="0"/>
          <w:i w:val="0"/>
          <w:smallCaps w:val="0"/>
          <w:strike w:val="0"/>
          <w:highlight w:val="cyan"/>
          <w:u w:val="none"/>
        </w:rPr>
        <w:t>r</w:t>
      </w:r>
      <w:r>
        <w:rPr>
          <w:b w:val="0"/>
          <w:i w:val="0"/>
          <w:smallCaps w:val="0"/>
          <w:strike w:val="0"/>
          <w:u w:val="none"/>
        </w:rPr>
        <w:t>.60</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