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Other sections don’t block eligibility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David </w:t>
      </w:r>
      <w:r>
        <w:rPr>
          <w:b/>
          <w:i w:val="0"/>
          <w:smallCaps w:val="0"/>
          <w:strike w:val="0"/>
          <w:sz w:val="26"/>
          <w:u w:val="none"/>
        </w:rPr>
        <w:t>Jones,</w:t>
      </w:r>
      <w:r>
        <w:rPr>
          <w:b w:val="0"/>
          <w:i w:val="0"/>
          <w:smallCaps w:val="0"/>
          <w:strike w:val="0"/>
          <w:u w:val="none"/>
        </w:rPr>
        <w:t xml:space="preserve"> 20</w:t>
      </w:r>
      <w:r>
        <w:rPr>
          <w:b/>
          <w:i w:val="0"/>
          <w:smallCaps w:val="0"/>
          <w:strike w:val="0"/>
          <w:sz w:val="26"/>
          <w:u w:val="none"/>
        </w:rPr>
        <w:t>24</w:t>
      </w:r>
      <w:r>
        <w:rPr>
          <w:b w:val="0"/>
          <w:i w:val="0"/>
          <w:smallCaps w:val="0"/>
          <w:strike w:val="0"/>
          <w:u w:val="none"/>
        </w:rPr>
        <w:t xml:space="preserve"> – executive director of the </w:t>
      </w:r>
      <w:r>
        <w:rPr>
          <w:b w:val="0"/>
          <w:i w:val="0"/>
          <w:smallCaps w:val="0"/>
          <w:strike w:val="0"/>
          <w:u w:val="none"/>
        </w:rPr>
        <w:t>High Tech</w:t>
      </w:r>
      <w:r>
        <w:rPr>
          <w:b w:val="0"/>
          <w:i w:val="0"/>
          <w:smallCaps w:val="0"/>
          <w:strike w:val="0"/>
          <w:u w:val="none"/>
        </w:rPr>
        <w:t xml:space="preserve"> Inventors Alliance. Statement Before the Subcommittee on Intellectual Property U.S. Senate Committee on the Judiciary, Hearing on “The Patent Eligibility Restoration Act – Restoring Clarity, Certainty, and Predictability to the U.S. Patent System” 1/24, </w:t>
      </w:r>
      <w:r>
        <w:rPr>
          <w:b w:val="0"/>
          <w:i w:val="0"/>
          <w:smallCaps w:val="0"/>
          <w:strike w:val="0"/>
          <w:u w:val="none"/>
        </w:rPr>
        <w:t xml:space="preserve"> //DH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Some argue that concerns about extending patent eligibility to non-technological subject matter should be dismissed because problematic patents would be screened out by sections 102, 103, and 112</w:t>
      </w:r>
      <w:r>
        <w:rPr>
          <w:b w:val="0"/>
          <w:i w:val="0"/>
          <w:smallCaps w:val="0"/>
          <w:strike w:val="0"/>
          <w:u w:val="none"/>
        </w:rPr>
        <w:t xml:space="preserve">.  </w:t>
      </w:r>
      <w:r>
        <w:rPr>
          <w:b w:val="0"/>
          <w:i w:val="0"/>
          <w:smallCaps w:val="0"/>
          <w:strike w:val="0"/>
          <w:sz w:val="22"/>
          <w:u w:val="single"/>
        </w:rPr>
        <w:t>This</w:t>
      </w:r>
      <w:r>
        <w:rPr>
          <w:b w:val="0"/>
          <w:i w:val="0"/>
          <w:smallCaps w:val="0"/>
          <w:strike w:val="0"/>
          <w:u w:val="none"/>
        </w:rPr>
        <w:t xml:space="preserve"> argument </w:t>
      </w:r>
      <w:r>
        <w:rPr>
          <w:b w:val="0"/>
          <w:i w:val="0"/>
          <w:smallCaps w:val="0"/>
          <w:strike w:val="0"/>
          <w:sz w:val="22"/>
          <w:u w:val="single"/>
        </w:rPr>
        <w:t>is refuted by historical experience</w:t>
      </w:r>
      <w:r>
        <w:rPr>
          <w:b w:val="0"/>
          <w:i w:val="0"/>
          <w:smallCaps w:val="0"/>
          <w:strike w:val="0"/>
          <w:u w:val="none"/>
        </w:rPr>
        <w:t xml:space="preserve">.  The truth is that, </w:t>
      </w:r>
      <w:r>
        <w:rPr>
          <w:b w:val="0"/>
          <w:i w:val="0"/>
          <w:smallCaps w:val="0"/>
          <w:strike w:val="0"/>
          <w:sz w:val="22"/>
          <w:u w:val="single"/>
        </w:rPr>
        <w:t>prior to Alice, patents on equally “silly” (and seemingly obvious) inventions—such as swinging sideways on a swing</w:t>
      </w:r>
      <w:r>
        <w:rPr>
          <w:b w:val="0"/>
          <w:i w:val="0"/>
          <w:smallCaps w:val="0"/>
          <w:strike w:val="0"/>
          <w:u w:val="none"/>
        </w:rPr>
        <w:t xml:space="preserve">21 </w:t>
      </w:r>
      <w:r>
        <w:rPr>
          <w:b w:val="0"/>
          <w:i w:val="0"/>
          <w:smallCaps w:val="0"/>
          <w:strike w:val="0"/>
          <w:sz w:val="22"/>
          <w:u w:val="single"/>
        </w:rPr>
        <w:t>or exercising a cat using a laser pointer</w:t>
      </w:r>
      <w:r>
        <w:rPr>
          <w:b w:val="0"/>
          <w:i w:val="0"/>
          <w:smallCaps w:val="0"/>
          <w:strike w:val="0"/>
          <w:u w:val="none"/>
        </w:rPr>
        <w:t>22—</w:t>
      </w:r>
      <w:r>
        <w:rPr>
          <w:b w:val="0"/>
          <w:i w:val="0"/>
          <w:smallCaps w:val="0"/>
          <w:strike w:val="0"/>
          <w:sz w:val="22"/>
          <w:u w:val="single"/>
        </w:rPr>
        <w:t>were not screened out by other statutory requirements but rather were issued.</w:t>
      </w:r>
      <w:r>
        <w:rPr>
          <w:b w:val="0"/>
          <w:i w:val="0"/>
          <w:smallCaps w:val="0"/>
          <w:strike w:val="0"/>
          <w:u w:val="none"/>
        </w:rPr>
        <w:t xml:space="preserve"> More importantly, this argument misses the point </w:t>
      </w:r>
      <w:r>
        <w:rPr>
          <w:b w:val="0"/>
          <w:i w:val="0"/>
          <w:smallCaps w:val="0"/>
          <w:strike w:val="0"/>
          <w:u w:val="none"/>
        </w:rPr>
        <w:t xml:space="preserve">that allowing the patenting of nontechnological processes undermines the core purpose of the patent system irrespective of whether the activity at issue </w:t>
      </w:r>
      <w:r>
        <w:rPr>
          <w:b w:val="0"/>
          <w:i w:val="0"/>
          <w:smallCaps w:val="0"/>
          <w:strike w:val="0"/>
          <w:u w:val="none"/>
        </w:rPr>
        <w:t>is novel</w:t>
      </w:r>
      <w:r>
        <w:rPr>
          <w:b w:val="0"/>
          <w:i w:val="0"/>
          <w:smallCaps w:val="0"/>
          <w:strike w:val="0"/>
          <w:u w:val="none"/>
        </w:rPr>
        <w:t>, non-obvious, and adequately enabled and described.  For example, there is evidence that the availability of patent protection for business methods directly harmed investment in technological R&amp;D.</w:t>
      </w:r>
      <w:r>
        <w:rPr>
          <w:b w:val="0"/>
          <w:i w:val="0"/>
          <w:smallCaps w:val="0"/>
          <w:strike w:val="0"/>
          <w:u w:val="none"/>
        </w:rPr>
        <w:t>23  Disincentivizing</w:t>
      </w:r>
      <w:r>
        <w:rPr>
          <w:b w:val="0"/>
          <w:i w:val="0"/>
          <w:smallCaps w:val="0"/>
          <w:strike w:val="0"/>
          <w:u w:val="none"/>
        </w:rPr>
        <w:t xml:space="preserve"> investment in technological innovation is the opposite of the purpose of patent protection—and the opposite of what would promote U.S. competitiveness and economic growth. 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