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Data</w:t>
      </w:r>
      <w:r>
        <w:rPr>
          <w:b/>
          <w:i w:val="0"/>
          <w:smallCaps w:val="0"/>
          <w:strike w:val="0"/>
          <w:sz w:val="26"/>
          <w:u w:val="none"/>
        </w:rPr>
        <w:t xml:space="preserve"> proves.</w:t>
      </w:r>
    </w:p>
    <w:p>
      <w:pPr>
        <w:spacing w:after="80"/>
      </w:pPr>
      <w:r>
        <w:rPr>
          <w:b w:val="0"/>
          <w:i w:val="0"/>
          <w:smallCaps w:val="0"/>
          <w:strike w:val="0"/>
          <w:u w:val="none"/>
        </w:rPr>
        <w:t xml:space="preserve">Ronald </w:t>
      </w:r>
      <w:r>
        <w:rPr>
          <w:b/>
          <w:i w:val="0"/>
          <w:smallCaps w:val="0"/>
          <w:strike w:val="0"/>
          <w:sz w:val="26"/>
          <w:u w:val="none"/>
        </w:rPr>
        <w:t>Cass 22</w:t>
      </w:r>
      <w:r>
        <w:rPr>
          <w:b w:val="0"/>
          <w:i w:val="0"/>
          <w:smallCaps w:val="0"/>
          <w:strike w:val="0"/>
          <w:u w:val="none"/>
        </w:rPr>
        <w:t>, Dean Emeritus of the Boston University School of Law and Distinguished Senior Fellow of the C. Boyden Gray Center for the Study of the Administrative State, “On Expanding Federal Courts,” National Affairs, No. 52, https://www.nationalaffairs.com/publications/detail/on-expanding-federal-courts</w:t>
      </w:r>
    </w:p>
    <w:p>
      <w:pPr>
        <w:spacing w:after="60"/>
      </w:pPr>
      <w:r>
        <w:rPr>
          <w:b w:val="0"/>
          <w:i w:val="0"/>
          <w:smallCaps w:val="0"/>
          <w:strike w:val="0"/>
          <w:sz w:val="16"/>
          <w:u w:val="none"/>
        </w:rPr>
        <w:t xml:space="preserve">One final element to consider before adding federal judgeships involves the practical needs of the courts themselves. Politics aside, the </w:t>
      </w:r>
      <w:r>
        <w:rPr>
          <w:b w:val="0"/>
          <w:i w:val="0"/>
          <w:smallCaps w:val="0"/>
          <w:strike w:val="0"/>
          <w:sz w:val="22"/>
          <w:highlight w:val="cyan"/>
          <w:u w:val="single"/>
        </w:rPr>
        <w:t>arguments</w:t>
      </w:r>
      <w:r>
        <w:rPr>
          <w:b w:val="0"/>
          <w:i w:val="0"/>
          <w:smallCaps w:val="0"/>
          <w:strike w:val="0"/>
          <w:sz w:val="16"/>
          <w:u w:val="none"/>
        </w:rPr>
        <w:t xml:space="preserve"> most assiduously advanced in </w:t>
      </w:r>
      <w:r>
        <w:rPr>
          <w:b w:val="0"/>
          <w:i w:val="0"/>
          <w:smallCaps w:val="0"/>
          <w:strike w:val="0"/>
          <w:sz w:val="22"/>
          <w:highlight w:val="cyan"/>
          <w:u w:val="single"/>
        </w:rPr>
        <w:t>support</w:t>
      </w:r>
      <w:r>
        <w:rPr>
          <w:b w:val="0"/>
          <w:i w:val="0"/>
          <w:smallCaps w:val="0"/>
          <w:strike w:val="0"/>
          <w:sz w:val="16"/>
          <w:u w:val="none"/>
        </w:rPr>
        <w:t xml:space="preserve"> of adding seats to the bench focus on difficulties in the timely processing of cases, backed by data indicating that the federal courts have witnessed </w:t>
      </w:r>
      <w:r>
        <w:rPr>
          <w:b w:val="0"/>
          <w:i w:val="0"/>
          <w:smallCaps w:val="0"/>
          <w:strike w:val="0"/>
          <w:sz w:val="22"/>
          <w:u w:val="single"/>
        </w:rPr>
        <w:t xml:space="preserve">a </w:t>
      </w:r>
      <w:r>
        <w:rPr>
          <w:b/>
          <w:i w:val="0"/>
          <w:smallCaps w:val="0"/>
          <w:strike w:val="0"/>
          <w:sz w:val="22"/>
          <w:u w:val="single"/>
        </w:rPr>
        <w:t xml:space="preserve">significant </w:t>
      </w:r>
      <w:r>
        <w:rPr>
          <w:b/>
          <w:i w:val="0"/>
          <w:smallCaps w:val="0"/>
          <w:strike w:val="0"/>
          <w:sz w:val="22"/>
          <w:highlight w:val="cyan"/>
          <w:u w:val="single"/>
        </w:rPr>
        <w:t>increase</w:t>
      </w:r>
      <w:r>
        <w:rPr>
          <w:b w:val="0"/>
          <w:i w:val="0"/>
          <w:smallCaps w:val="0"/>
          <w:strike w:val="0"/>
          <w:sz w:val="22"/>
          <w:highlight w:val="cyan"/>
          <w:u w:val="single"/>
        </w:rPr>
        <w:t xml:space="preserve"> in caseloads. But</w:t>
      </w:r>
      <w:r>
        <w:rPr>
          <w:b w:val="0"/>
          <w:i w:val="0"/>
          <w:smallCaps w:val="0"/>
          <w:strike w:val="0"/>
          <w:sz w:val="16"/>
          <w:u w:val="none"/>
        </w:rPr>
        <w:t xml:space="preserve"> a </w:t>
      </w:r>
      <w:r>
        <w:rPr>
          <w:b/>
          <w:i w:val="0"/>
          <w:smallCaps w:val="0"/>
          <w:strike w:val="0"/>
          <w:sz w:val="22"/>
          <w:u w:val="single"/>
        </w:rPr>
        <w:t>closer examination</w:t>
      </w:r>
      <w:r>
        <w:rPr>
          <w:b w:val="0"/>
          <w:i w:val="0"/>
          <w:smallCaps w:val="0"/>
          <w:strike w:val="0"/>
          <w:sz w:val="22"/>
          <w:u w:val="single"/>
        </w:rPr>
        <w:t xml:space="preserve"> of</w:t>
      </w:r>
      <w:r>
        <w:rPr>
          <w:b w:val="0"/>
          <w:i w:val="0"/>
          <w:smallCaps w:val="0"/>
          <w:strike w:val="0"/>
          <w:sz w:val="16"/>
          <w:u w:val="none"/>
        </w:rPr>
        <w:t xml:space="preserve"> these </w:t>
      </w:r>
      <w:r>
        <w:rPr>
          <w:b/>
          <w:i w:val="0"/>
          <w:smallCaps w:val="0"/>
          <w:strike w:val="0"/>
          <w:sz w:val="22"/>
          <w:highlight w:val="cyan"/>
          <w:u w:val="single"/>
        </w:rPr>
        <w:t>data</w:t>
      </w:r>
      <w:r>
        <w:rPr>
          <w:b w:val="0"/>
          <w:i w:val="0"/>
          <w:smallCaps w:val="0"/>
          <w:strike w:val="0"/>
          <w:sz w:val="22"/>
          <w:highlight w:val="cyan"/>
          <w:u w:val="single"/>
        </w:rPr>
        <w:t xml:space="preserve"> reveals</w:t>
      </w:r>
      <w:r>
        <w:rPr>
          <w:b w:val="0"/>
          <w:i w:val="0"/>
          <w:smallCaps w:val="0"/>
          <w:strike w:val="0"/>
          <w:sz w:val="16"/>
          <w:u w:val="none"/>
        </w:rPr>
        <w:t xml:space="preserve"> serious </w:t>
      </w:r>
      <w:r>
        <w:rPr>
          <w:b w:val="0"/>
          <w:i w:val="0"/>
          <w:smallCaps w:val="0"/>
          <w:strike w:val="0"/>
          <w:sz w:val="22"/>
          <w:u w:val="single"/>
        </w:rPr>
        <w:t xml:space="preserve">reason to </w:t>
      </w:r>
      <w:r>
        <w:rPr>
          <w:b w:val="0"/>
          <w:i w:val="0"/>
          <w:smallCaps w:val="0"/>
          <w:strike w:val="0"/>
          <w:sz w:val="22"/>
          <w:highlight w:val="cyan"/>
          <w:u w:val="single"/>
        </w:rPr>
        <w:t>doubt</w:t>
      </w:r>
      <w:r>
        <w:rPr>
          <w:b w:val="0"/>
          <w:i w:val="0"/>
          <w:smallCaps w:val="0"/>
          <w:strike w:val="0"/>
          <w:sz w:val="16"/>
          <w:u w:val="none"/>
        </w:rPr>
        <w:t xml:space="preserve"> the need to add a significant number of judgeships to manage existing caseloads. At the very least, it supports taking a modest approach to the issue rather than rushing to expand the judiciary.</w:t>
      </w:r>
    </w:p>
    <w:p>
      <w:pPr>
        <w:spacing w:after="60"/>
      </w:pPr>
      <w:r>
        <w:rPr>
          <w:b w:val="0"/>
          <w:i w:val="0"/>
          <w:smallCaps w:val="0"/>
          <w:strike w:val="0"/>
          <w:sz w:val="16"/>
          <w:u w:val="none"/>
        </w:rPr>
        <w:t xml:space="preserve">Turning first to the appellate level, advocates of creating additional judgeships have repeatedly asserted that the U.S. courts of appeals are facing a crisis due to the rising number of cases. Yet </w:t>
      </w:r>
      <w:r>
        <w:rPr>
          <w:b w:val="0"/>
          <w:i w:val="0"/>
          <w:smallCaps w:val="0"/>
          <w:strike w:val="0"/>
          <w:sz w:val="22"/>
          <w:u w:val="single"/>
        </w:rPr>
        <w:t xml:space="preserve">while the </w:t>
      </w:r>
      <w:r>
        <w:rPr>
          <w:b w:val="0"/>
          <w:i w:val="0"/>
          <w:smallCaps w:val="0"/>
          <w:strike w:val="0"/>
          <w:sz w:val="22"/>
          <w:highlight w:val="cyan"/>
          <w:u w:val="single"/>
        </w:rPr>
        <w:t>appellate caseload</w:t>
      </w:r>
      <w:r>
        <w:rPr>
          <w:b w:val="0"/>
          <w:i w:val="0"/>
          <w:smallCaps w:val="0"/>
          <w:strike w:val="0"/>
          <w:sz w:val="22"/>
          <w:u w:val="single"/>
        </w:rPr>
        <w:t xml:space="preserve"> </w:t>
      </w:r>
      <w:r>
        <w:rPr>
          <w:b/>
          <w:i w:val="0"/>
          <w:smallCaps w:val="0"/>
          <w:strike w:val="0"/>
          <w:sz w:val="22"/>
          <w:u w:val="single"/>
        </w:rPr>
        <w:t>did increase</w:t>
      </w:r>
      <w:r>
        <w:rPr>
          <w:b w:val="0"/>
          <w:i w:val="0"/>
          <w:smallCaps w:val="0"/>
          <w:strike w:val="0"/>
          <w:sz w:val="22"/>
          <w:u w:val="single"/>
        </w:rPr>
        <w:t xml:space="preserve"> from the </w:t>
      </w:r>
      <w:r>
        <w:rPr>
          <w:b/>
          <w:i w:val="0"/>
          <w:smallCaps w:val="0"/>
          <w:strike w:val="0"/>
          <w:sz w:val="22"/>
          <w:u w:val="single"/>
        </w:rPr>
        <w:t>1970s</w:t>
      </w:r>
      <w:r>
        <w:rPr>
          <w:b w:val="0"/>
          <w:i w:val="0"/>
          <w:smallCaps w:val="0"/>
          <w:strike w:val="0"/>
          <w:sz w:val="22"/>
          <w:u w:val="single"/>
        </w:rPr>
        <w:t xml:space="preserve"> through the </w:t>
      </w:r>
      <w:r>
        <w:rPr>
          <w:b/>
          <w:i w:val="0"/>
          <w:smallCaps w:val="0"/>
          <w:strike w:val="0"/>
          <w:sz w:val="22"/>
          <w:u w:val="single"/>
        </w:rPr>
        <w:t>1990s</w:t>
      </w:r>
      <w:r>
        <w:rPr>
          <w:b w:val="0"/>
          <w:i w:val="0"/>
          <w:smallCaps w:val="0"/>
          <w:strike w:val="0"/>
          <w:sz w:val="22"/>
          <w:u w:val="single"/>
        </w:rPr>
        <w:t xml:space="preserve">, it </w:t>
      </w:r>
      <w:r>
        <w:rPr>
          <w:b/>
          <w:i w:val="0"/>
          <w:smallCaps w:val="0"/>
          <w:strike w:val="0"/>
          <w:sz w:val="22"/>
          <w:highlight w:val="cyan"/>
          <w:u w:val="single"/>
        </w:rPr>
        <w:t>leveled off</w:t>
      </w:r>
      <w:r>
        <w:rPr>
          <w:b w:val="0"/>
          <w:i w:val="0"/>
          <w:smallCaps w:val="0"/>
          <w:strike w:val="0"/>
          <w:sz w:val="16"/>
          <w:u w:val="none"/>
        </w:rPr>
        <w:t xml:space="preserve"> afterward </w:t>
      </w:r>
      <w:r>
        <w:rPr>
          <w:b w:val="0"/>
          <w:i w:val="0"/>
          <w:smallCaps w:val="0"/>
          <w:strike w:val="0"/>
          <w:sz w:val="22"/>
          <w:highlight w:val="cyan"/>
          <w:u w:val="single"/>
        </w:rPr>
        <w:t>and</w:t>
      </w:r>
      <w:r>
        <w:rPr>
          <w:b w:val="0"/>
          <w:i w:val="0"/>
          <w:smallCaps w:val="0"/>
          <w:strike w:val="0"/>
          <w:sz w:val="16"/>
          <w:u w:val="none"/>
        </w:rPr>
        <w:t xml:space="preserve"> then </w:t>
      </w:r>
      <w:r>
        <w:rPr>
          <w:b/>
          <w:i w:val="0"/>
          <w:smallCaps w:val="0"/>
          <w:strike w:val="0"/>
          <w:sz w:val="22"/>
          <w:u w:val="single"/>
        </w:rPr>
        <w:t xml:space="preserve">began to </w:t>
      </w:r>
      <w:r>
        <w:rPr>
          <w:b/>
          <w:i w:val="0"/>
          <w:smallCaps w:val="0"/>
          <w:strike w:val="0"/>
          <w:sz w:val="22"/>
          <w:highlight w:val="cyan"/>
          <w:u w:val="single"/>
        </w:rPr>
        <w:t>decline</w:t>
      </w:r>
      <w:r>
        <w:rPr>
          <w:b w:val="0"/>
          <w:i w:val="0"/>
          <w:smallCaps w:val="0"/>
          <w:strike w:val="0"/>
          <w:sz w:val="22"/>
          <w:highlight w:val="cyan"/>
          <w:u w:val="single"/>
        </w:rPr>
        <w:t>. The number of cases filed</w:t>
      </w:r>
      <w:r>
        <w:rPr>
          <w:b w:val="0"/>
          <w:i w:val="0"/>
          <w:smallCaps w:val="0"/>
          <w:strike w:val="0"/>
          <w:sz w:val="22"/>
          <w:u w:val="single"/>
        </w:rPr>
        <w:t xml:space="preserve"> in the federal courts of appeals </w:t>
      </w:r>
      <w:r>
        <w:rPr>
          <w:b w:val="0"/>
          <w:i w:val="0"/>
          <w:smallCaps w:val="0"/>
          <w:strike w:val="0"/>
          <w:sz w:val="22"/>
          <w:highlight w:val="cyan"/>
          <w:u w:val="single"/>
        </w:rPr>
        <w:t>in 2020 was</w:t>
      </w:r>
      <w:r>
        <w:rPr>
          <w:b w:val="0"/>
          <w:i w:val="0"/>
          <w:smallCaps w:val="0"/>
          <w:strike w:val="0"/>
          <w:sz w:val="16"/>
          <w:u w:val="none"/>
        </w:rPr>
        <w:t xml:space="preserve"> almost </w:t>
      </w:r>
      <w:r>
        <w:rPr>
          <w:b/>
          <w:i w:val="0"/>
          <w:smallCaps w:val="0"/>
          <w:strike w:val="0"/>
          <w:sz w:val="22"/>
          <w:highlight w:val="cyan"/>
          <w:u w:val="single"/>
        </w:rPr>
        <w:t>10% below</w:t>
      </w:r>
      <w:r>
        <w:rPr>
          <w:b w:val="0"/>
          <w:i w:val="0"/>
          <w:smallCaps w:val="0"/>
          <w:strike w:val="0"/>
          <w:sz w:val="16"/>
          <w:u w:val="none"/>
        </w:rPr>
        <w:t xml:space="preserve"> the number filed in </w:t>
      </w:r>
      <w:r>
        <w:rPr>
          <w:b w:val="0"/>
          <w:i w:val="0"/>
          <w:smallCaps w:val="0"/>
          <w:strike w:val="0"/>
          <w:sz w:val="22"/>
          <w:highlight w:val="cyan"/>
          <w:u w:val="single"/>
        </w:rPr>
        <w:t>2000</w:t>
      </w:r>
      <w:r>
        <w:rPr>
          <w:b w:val="0"/>
          <w:i w:val="0"/>
          <w:smallCaps w:val="0"/>
          <w:strike w:val="0"/>
          <w:sz w:val="16"/>
          <w:u w:val="none"/>
        </w:rPr>
        <w:t>.</w:t>
      </w:r>
    </w:p>
    <w:p>
      <w:pPr>
        <w:spacing w:after="60"/>
      </w:pPr>
      <w:r>
        <w:rPr>
          <w:b w:val="0"/>
          <w:i w:val="0"/>
          <w:smallCaps w:val="0"/>
          <w:strike w:val="0"/>
          <w:sz w:val="16"/>
          <w:u w:val="none"/>
        </w:rPr>
        <w:t xml:space="preserve">Not only are case numbers falling, but </w:t>
      </w:r>
      <w:r>
        <w:rPr>
          <w:b w:val="0"/>
          <w:i w:val="0"/>
          <w:smallCaps w:val="0"/>
          <w:strike w:val="0"/>
          <w:sz w:val="22"/>
          <w:u w:val="single"/>
        </w:rPr>
        <w:t xml:space="preserve">the </w:t>
      </w:r>
      <w:r>
        <w:rPr>
          <w:b w:val="0"/>
          <w:i w:val="0"/>
          <w:smallCaps w:val="0"/>
          <w:strike w:val="0"/>
          <w:sz w:val="22"/>
          <w:highlight w:val="cyan"/>
          <w:u w:val="single"/>
        </w:rPr>
        <w:t>time</w:t>
      </w:r>
      <w:r>
        <w:rPr>
          <w:b w:val="0"/>
          <w:i w:val="0"/>
          <w:smallCaps w:val="0"/>
          <w:strike w:val="0"/>
          <w:sz w:val="16"/>
          <w:u w:val="none"/>
        </w:rPr>
        <w:t xml:space="preserve"> taken </w:t>
      </w:r>
      <w:r>
        <w:rPr>
          <w:b w:val="0"/>
          <w:i w:val="0"/>
          <w:smallCaps w:val="0"/>
          <w:strike w:val="0"/>
          <w:sz w:val="22"/>
          <w:highlight w:val="cyan"/>
          <w:u w:val="single"/>
        </w:rPr>
        <w:t>to</w:t>
      </w:r>
      <w:r>
        <w:rPr>
          <w:b w:val="0"/>
          <w:i w:val="0"/>
          <w:smallCaps w:val="0"/>
          <w:strike w:val="0"/>
          <w:sz w:val="22"/>
          <w:u w:val="single"/>
        </w:rPr>
        <w:t xml:space="preserve"> reach </w:t>
      </w:r>
      <w:r>
        <w:rPr>
          <w:b w:val="0"/>
          <w:i w:val="0"/>
          <w:smallCaps w:val="0"/>
          <w:strike w:val="0"/>
          <w:sz w:val="22"/>
          <w:highlight w:val="cyan"/>
          <w:u w:val="single"/>
        </w:rPr>
        <w:t>decision</w:t>
      </w:r>
      <w:r>
        <w:rPr>
          <w:b w:val="0"/>
          <w:i w:val="0"/>
          <w:smallCaps w:val="0"/>
          <w:strike w:val="0"/>
          <w:sz w:val="16"/>
          <w:u w:val="none"/>
        </w:rPr>
        <w:t>s</w:t>
      </w:r>
      <w:r>
        <w:rPr>
          <w:b w:val="0"/>
          <w:i w:val="0"/>
          <w:smallCaps w:val="0"/>
          <w:strike w:val="0"/>
          <w:sz w:val="16"/>
          <w:u w:val="none"/>
        </w:rPr>
        <w:t xml:space="preserve"> is, too. Though termination times rose precipitously in the 1970s, they </w:t>
      </w:r>
      <w:r>
        <w:rPr>
          <w:b/>
          <w:i w:val="0"/>
          <w:smallCaps w:val="0"/>
          <w:strike w:val="0"/>
          <w:sz w:val="22"/>
          <w:highlight w:val="cyan"/>
          <w:u w:val="single"/>
        </w:rPr>
        <w:t>leveled off</w:t>
      </w:r>
      <w:r>
        <w:rPr>
          <w:b w:val="0"/>
          <w:i w:val="0"/>
          <w:smallCaps w:val="0"/>
          <w:strike w:val="0"/>
          <w:sz w:val="16"/>
          <w:u w:val="none"/>
        </w:rPr>
        <w:t xml:space="preserve"> during the following two decades </w:t>
      </w:r>
      <w:r>
        <w:rPr>
          <w:b w:val="0"/>
          <w:i w:val="0"/>
          <w:smallCaps w:val="0"/>
          <w:strike w:val="0"/>
          <w:sz w:val="22"/>
          <w:highlight w:val="cyan"/>
          <w:u w:val="single"/>
        </w:rPr>
        <w:t>and</w:t>
      </w:r>
      <w:r>
        <w:rPr>
          <w:b w:val="0"/>
          <w:i w:val="0"/>
          <w:smallCaps w:val="0"/>
          <w:strike w:val="0"/>
          <w:sz w:val="16"/>
          <w:u w:val="none"/>
        </w:rPr>
        <w:t xml:space="preserve">, after an uptick in the early 2000s, have </w:t>
      </w:r>
      <w:r>
        <w:rPr>
          <w:b w:val="0"/>
          <w:i w:val="0"/>
          <w:smallCaps w:val="0"/>
          <w:strike w:val="0"/>
          <w:sz w:val="22"/>
          <w:highlight w:val="cyan"/>
          <w:u w:val="single"/>
        </w:rPr>
        <w:t>shown</w:t>
      </w:r>
      <w:r>
        <w:rPr>
          <w:b w:val="0"/>
          <w:i w:val="0"/>
          <w:smallCaps w:val="0"/>
          <w:strike w:val="0"/>
          <w:sz w:val="16"/>
          <w:u w:val="none"/>
        </w:rPr>
        <w:t xml:space="preserve"> signs of </w:t>
      </w:r>
      <w:r>
        <w:rPr>
          <w:b w:val="0"/>
          <w:i w:val="0"/>
          <w:smallCaps w:val="0"/>
          <w:strike w:val="0"/>
          <w:sz w:val="22"/>
          <w:highlight w:val="cyan"/>
          <w:u w:val="single"/>
        </w:rPr>
        <w:t>trend</w:t>
      </w:r>
      <w:r>
        <w:rPr>
          <w:b w:val="0"/>
          <w:i w:val="0"/>
          <w:smallCaps w:val="0"/>
          <w:strike w:val="0"/>
          <w:sz w:val="16"/>
          <w:u w:val="none"/>
        </w:rPr>
        <w:t xml:space="preserve">ing </w:t>
      </w:r>
      <w:r>
        <w:rPr>
          <w:b/>
          <w:i w:val="0"/>
          <w:smallCaps w:val="0"/>
          <w:strike w:val="0"/>
          <w:sz w:val="22"/>
          <w:highlight w:val="cyan"/>
          <w:u w:val="single"/>
        </w:rPr>
        <w:t>downward</w:t>
      </w:r>
      <w:r>
        <w:rPr>
          <w:b w:val="0"/>
          <w:i w:val="0"/>
          <w:smallCaps w:val="0"/>
          <w:strike w:val="0"/>
          <w:sz w:val="22"/>
          <w:u w:val="single"/>
        </w:rPr>
        <w:t xml:space="preserve"> again</w:t>
      </w:r>
      <w:r>
        <w:rPr>
          <w:b w:val="0"/>
          <w:i w:val="0"/>
          <w:smallCaps w:val="0"/>
          <w:strike w:val="0"/>
          <w:sz w:val="16"/>
          <w:u w:val="none"/>
        </w:rPr>
        <w:t xml:space="preserve">. Since 2010, the median time for deciding cases in the federal courts of appeals has been lower each year in the past decade (from 2011 to 2020) than it was in the decade's first year. The difference is even more dramatic when compared with termination times from three decades earlier: </w:t>
      </w:r>
      <w:r>
        <w:rPr>
          <w:b w:val="0"/>
          <w:i w:val="0"/>
          <w:smallCaps w:val="0"/>
          <w:strike w:val="0"/>
          <w:sz w:val="22"/>
          <w:u w:val="single"/>
        </w:rPr>
        <w:t>In 1990, the median time</w:t>
      </w:r>
      <w:r>
        <w:rPr>
          <w:b w:val="0"/>
          <w:i w:val="0"/>
          <w:smallCaps w:val="0"/>
          <w:strike w:val="0"/>
          <w:sz w:val="16"/>
          <w:u w:val="none"/>
        </w:rPr>
        <w:t xml:space="preserve"> it took the federal courts of appeals to close a case </w:t>
      </w:r>
      <w:r>
        <w:rPr>
          <w:b w:val="0"/>
          <w:i w:val="0"/>
          <w:smallCaps w:val="0"/>
          <w:strike w:val="0"/>
          <w:sz w:val="22"/>
          <w:u w:val="single"/>
        </w:rPr>
        <w:t>was</w:t>
      </w:r>
      <w:r>
        <w:rPr>
          <w:b w:val="0"/>
          <w:i w:val="0"/>
          <w:smallCaps w:val="0"/>
          <w:strike w:val="0"/>
          <w:sz w:val="16"/>
          <w:u w:val="none"/>
        </w:rPr>
        <w:t xml:space="preserve"> over 15 months</w:t>
      </w:r>
      <w:r>
        <w:rPr>
          <w:b w:val="0"/>
          <w:i w:val="0"/>
          <w:smallCaps w:val="0"/>
          <w:strike w:val="0"/>
          <w:sz w:val="16"/>
          <w:u w:val="none"/>
        </w:rPr>
        <w:t xml:space="preserve"> </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 xml:space="preserve">roughly 69% higher than it was in 2020 and </w:t>
      </w:r>
      <w:r>
        <w:rPr>
          <w:b w:val="0"/>
          <w:i w:val="0"/>
          <w:smallCaps w:val="0"/>
          <w:strike w:val="0"/>
          <w:sz w:val="22"/>
          <w:u w:val="single"/>
        </w:rPr>
        <w:t>more than double what it was in 2016</w:t>
      </w:r>
      <w:r>
        <w:rPr>
          <w:b w:val="0"/>
          <w:i w:val="0"/>
          <w:smallCaps w:val="0"/>
          <w:strike w:val="0"/>
          <w:sz w:val="16"/>
          <w:u w:val="none"/>
        </w:rPr>
        <w:t>.</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