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Recent </w:t>
      </w:r>
      <w:r>
        <w:rPr>
          <w:b/>
          <w:i w:val="0"/>
          <w:smallCaps w:val="0"/>
          <w:strike w:val="0"/>
          <w:sz w:val="26"/>
          <w:u w:val="single"/>
        </w:rPr>
        <w:t>judicial disclosures</w:t>
      </w:r>
      <w:r>
        <w:rPr>
          <w:b/>
          <w:i w:val="0"/>
          <w:smallCaps w:val="0"/>
          <w:strike w:val="0"/>
          <w:sz w:val="26"/>
          <w:u w:val="none"/>
        </w:rPr>
        <w:t xml:space="preserve"> show </w:t>
      </w:r>
      <w:r>
        <w:rPr>
          <w:b/>
          <w:i w:val="0"/>
          <w:smallCaps w:val="0"/>
          <w:strike w:val="0"/>
          <w:sz w:val="26"/>
          <w:u w:val="single"/>
        </w:rPr>
        <w:t>huge declines</w:t>
      </w:r>
      <w:r>
        <w:rPr>
          <w:b/>
          <w:i w:val="0"/>
          <w:smallCaps w:val="0"/>
          <w:strike w:val="0"/>
          <w:sz w:val="26"/>
          <w:u w:val="none"/>
        </w:rPr>
        <w:t xml:space="preserve"> in </w:t>
      </w:r>
      <w:r>
        <w:rPr>
          <w:b/>
          <w:i w:val="0"/>
          <w:smallCaps w:val="0"/>
          <w:strike w:val="0"/>
          <w:sz w:val="26"/>
          <w:u w:val="single"/>
        </w:rPr>
        <w:t>all</w:t>
      </w:r>
      <w:r>
        <w:rPr>
          <w:b/>
          <w:i w:val="0"/>
          <w:smallCaps w:val="0"/>
          <w:strike w:val="0"/>
          <w:sz w:val="26"/>
          <w:u w:val="none"/>
        </w:rPr>
        <w:t xml:space="preserve"> areas.</w:t>
      </w:r>
    </w:p>
    <w:p>
      <w:pPr>
        <w:spacing w:after="80"/>
      </w:pPr>
      <w:r>
        <w:rPr>
          <w:b/>
          <w:i w:val="0"/>
          <w:smallCaps w:val="0"/>
          <w:strike w:val="0"/>
          <w:sz w:val="26"/>
          <w:u w:val="none"/>
        </w:rPr>
        <w:t xml:space="preserve">Strickler ’22 </w:t>
      </w:r>
      <w:r>
        <w:rPr>
          <w:b w:val="0"/>
          <w:i w:val="0"/>
          <w:smallCaps w:val="0"/>
          <w:strike w:val="0"/>
          <w:u w:val="none"/>
        </w:rPr>
        <w:t xml:space="preserve">[Andrew; March 16; Legal analyst; Law360, “Snapshot: The State of The Federal Courts,” </w:t>
      </w:r>
      <w:r>
        <w:rPr>
          <w:b w:val="0"/>
          <w:i w:val="0"/>
          <w:smallCaps w:val="0"/>
          <w:strike w:val="0"/>
          <w:u w:val="none"/>
        </w:rPr>
        <w:t>]</w:t>
      </w:r>
    </w:p>
    <w:p>
      <w:pPr>
        <w:spacing w:after="60"/>
      </w:pPr>
      <w:r>
        <w:rPr>
          <w:b w:val="0"/>
          <w:i w:val="0"/>
          <w:smallCaps w:val="0"/>
          <w:strike w:val="0"/>
          <w:sz w:val="16"/>
          <w:u w:val="none"/>
        </w:rPr>
        <w:t xml:space="preserve">Citing the "serious constraints" of the second year of the pandemic, </w:t>
      </w:r>
      <w:r>
        <w:rPr>
          <w:b w:val="0"/>
          <w:i w:val="0"/>
          <w:smallCaps w:val="0"/>
          <w:strike w:val="0"/>
          <w:sz w:val="22"/>
          <w:highlight w:val="cyan"/>
          <w:u w:val="single"/>
        </w:rPr>
        <w:t>the</w:t>
      </w:r>
      <w:r>
        <w:rPr>
          <w:b w:val="0"/>
          <w:i w:val="0"/>
          <w:smallCaps w:val="0"/>
          <w:strike w:val="0"/>
          <w:sz w:val="22"/>
          <w:u w:val="single"/>
        </w:rPr>
        <w:t xml:space="preserve"> federal </w:t>
      </w:r>
      <w:r>
        <w:rPr>
          <w:b w:val="0"/>
          <w:i w:val="0"/>
          <w:smallCaps w:val="0"/>
          <w:strike w:val="0"/>
          <w:sz w:val="22"/>
          <w:highlight w:val="cyan"/>
          <w:u w:val="single"/>
        </w:rPr>
        <w:t>judiciary</w:t>
      </w:r>
      <w:r>
        <w:rPr>
          <w:b w:val="0"/>
          <w:i w:val="0"/>
          <w:smallCaps w:val="0"/>
          <w:strike w:val="0"/>
          <w:sz w:val="16"/>
          <w:u w:val="none"/>
        </w:rPr>
        <w:t xml:space="preserve"> this week </w:t>
      </w:r>
      <w:r>
        <w:rPr>
          <w:b w:val="0"/>
          <w:i w:val="0"/>
          <w:smallCaps w:val="0"/>
          <w:strike w:val="0"/>
          <w:sz w:val="22"/>
          <w:highlight w:val="cyan"/>
          <w:u w:val="single"/>
        </w:rPr>
        <w:t>released</w:t>
      </w:r>
      <w:r>
        <w:rPr>
          <w:b w:val="0"/>
          <w:i w:val="0"/>
          <w:smallCaps w:val="0"/>
          <w:strike w:val="0"/>
          <w:sz w:val="22"/>
          <w:u w:val="single"/>
        </w:rPr>
        <w:t xml:space="preserve"> </w:t>
      </w:r>
      <w:r>
        <w:rPr>
          <w:b/>
          <w:i w:val="0"/>
          <w:smallCaps w:val="0"/>
          <w:strike w:val="0"/>
          <w:sz w:val="22"/>
          <w:u w:val="single"/>
        </w:rPr>
        <w:t xml:space="preserve">new </w:t>
      </w:r>
      <w:r>
        <w:rPr>
          <w:b/>
          <w:i w:val="0"/>
          <w:smallCaps w:val="0"/>
          <w:strike w:val="0"/>
          <w:sz w:val="22"/>
          <w:highlight w:val="cyan"/>
          <w:u w:val="single"/>
        </w:rPr>
        <w:t>data</w:t>
      </w:r>
      <w:r>
        <w:rPr>
          <w:b w:val="0"/>
          <w:i w:val="0"/>
          <w:smallCaps w:val="0"/>
          <w:strike w:val="0"/>
          <w:sz w:val="22"/>
          <w:highlight w:val="cyan"/>
          <w:u w:val="single"/>
        </w:rPr>
        <w:t xml:space="preserve"> showing</w:t>
      </w:r>
      <w:r>
        <w:rPr>
          <w:b w:val="0"/>
          <w:i w:val="0"/>
          <w:smallCaps w:val="0"/>
          <w:strike w:val="0"/>
          <w:sz w:val="22"/>
          <w:u w:val="single"/>
        </w:rPr>
        <w:t xml:space="preserve"> </w:t>
      </w:r>
      <w:r>
        <w:rPr>
          <w:b/>
          <w:i w:val="0"/>
          <w:smallCaps w:val="0"/>
          <w:strike w:val="0"/>
          <w:sz w:val="22"/>
          <w:u w:val="single"/>
        </w:rPr>
        <w:t xml:space="preserve">huge </w:t>
      </w:r>
      <w:r>
        <w:rPr>
          <w:b/>
          <w:i w:val="0"/>
          <w:smallCaps w:val="0"/>
          <w:strike w:val="0"/>
          <w:sz w:val="22"/>
          <w:highlight w:val="cyan"/>
          <w:u w:val="single"/>
        </w:rPr>
        <w:t>drops</w:t>
      </w:r>
      <w:r>
        <w:rPr>
          <w:b w:val="0"/>
          <w:i w:val="0"/>
          <w:smallCaps w:val="0"/>
          <w:strike w:val="0"/>
          <w:sz w:val="22"/>
          <w:u w:val="single"/>
        </w:rPr>
        <w:t xml:space="preserve"> last year </w:t>
      </w:r>
      <w:r>
        <w:rPr>
          <w:b w:val="0"/>
          <w:i w:val="0"/>
          <w:smallCaps w:val="0"/>
          <w:strike w:val="0"/>
          <w:sz w:val="22"/>
          <w:highlight w:val="cyan"/>
          <w:u w:val="single"/>
        </w:rPr>
        <w:t>in</w:t>
      </w:r>
      <w:r>
        <w:rPr>
          <w:b w:val="0"/>
          <w:i w:val="0"/>
          <w:smallCaps w:val="0"/>
          <w:strike w:val="0"/>
          <w:sz w:val="22"/>
          <w:u w:val="single"/>
        </w:rPr>
        <w:t xml:space="preserve"> </w:t>
      </w:r>
      <w:r>
        <w:rPr>
          <w:b/>
          <w:i w:val="0"/>
          <w:smallCaps w:val="0"/>
          <w:strike w:val="0"/>
          <w:sz w:val="22"/>
          <w:u w:val="single"/>
        </w:rPr>
        <w:t xml:space="preserve">civil </w:t>
      </w:r>
      <w:r>
        <w:rPr>
          <w:b/>
          <w:i w:val="0"/>
          <w:smallCaps w:val="0"/>
          <w:strike w:val="0"/>
          <w:sz w:val="22"/>
          <w:highlight w:val="cyan"/>
          <w:u w:val="single"/>
        </w:rPr>
        <w:t>filings</w:t>
      </w:r>
      <w:r>
        <w:rPr>
          <w:b w:val="0"/>
          <w:i w:val="0"/>
          <w:smallCaps w:val="0"/>
          <w:strike w:val="0"/>
          <w:sz w:val="22"/>
          <w:highlight w:val="cyan"/>
          <w:u w:val="single"/>
        </w:rPr>
        <w:t xml:space="preserve"> across</w:t>
      </w:r>
      <w:r>
        <w:rPr>
          <w:b w:val="0"/>
          <w:i w:val="0"/>
          <w:smallCaps w:val="0"/>
          <w:strike w:val="0"/>
          <w:sz w:val="22"/>
          <w:u w:val="single"/>
        </w:rPr>
        <w:t xml:space="preserve"> the </w:t>
      </w:r>
      <w:r>
        <w:rPr>
          <w:b/>
          <w:i w:val="0"/>
          <w:smallCaps w:val="0"/>
          <w:strike w:val="0"/>
          <w:sz w:val="22"/>
          <w:u w:val="single"/>
        </w:rPr>
        <w:t>court</w:t>
      </w:r>
      <w:r>
        <w:rPr>
          <w:b w:val="0"/>
          <w:i w:val="0"/>
          <w:smallCaps w:val="0"/>
          <w:strike w:val="0"/>
          <w:sz w:val="22"/>
          <w:u w:val="single"/>
        </w:rPr>
        <w:t xml:space="preserve"> system</w:t>
      </w:r>
      <w:r>
        <w:rPr>
          <w:b/>
          <w:i w:val="0"/>
          <w:smallCaps w:val="0"/>
          <w:strike w:val="0"/>
          <w:sz w:val="22"/>
          <w:u w:val="single"/>
        </w:rPr>
        <w:t>s</w:t>
      </w:r>
      <w:r>
        <w:rPr>
          <w:b w:val="0"/>
          <w:i w:val="0"/>
          <w:smallCaps w:val="0"/>
          <w:strike w:val="0"/>
          <w:sz w:val="22"/>
          <w:u w:val="single"/>
        </w:rPr>
        <w:t xml:space="preserve"> and </w:t>
      </w:r>
      <w:r>
        <w:rPr>
          <w:b/>
          <w:i w:val="0"/>
          <w:smallCaps w:val="0"/>
          <w:strike w:val="0"/>
          <w:sz w:val="22"/>
          <w:highlight w:val="cyan"/>
          <w:u w:val="single"/>
        </w:rPr>
        <w:t>most areas</w:t>
      </w:r>
      <w:r>
        <w:rPr>
          <w:b w:val="0"/>
          <w:i w:val="0"/>
          <w:smallCaps w:val="0"/>
          <w:strike w:val="0"/>
          <w:sz w:val="22"/>
          <w:u w:val="single"/>
        </w:rPr>
        <w:t xml:space="preserve"> of the law</w:t>
      </w:r>
      <w:r>
        <w:rPr>
          <w:b w:val="0"/>
          <w:i w:val="0"/>
          <w:smallCaps w:val="0"/>
          <w:strike w:val="0"/>
          <w:sz w:val="16"/>
          <w:u w:val="none"/>
        </w:rPr>
        <w:t>.</w:t>
      </w:r>
    </w:p>
    <w:p>
      <w:pPr>
        <w:spacing w:after="60"/>
      </w:pPr>
      <w:r>
        <w:rPr>
          <w:b w:val="0"/>
          <w:i w:val="0"/>
          <w:smallCaps w:val="0"/>
          <w:strike w:val="0"/>
          <w:sz w:val="12"/>
          <w:u w:val="none"/>
        </w:rPr>
        <w:t>Meanwhile, the number of federal cases still pending at the close of the last fiscal year made a double-digit jump, while new criminal case filings edged up compared to 2020.</w:t>
      </w:r>
    </w:p>
    <w:p>
      <w:pPr>
        <w:spacing w:after="60"/>
      </w:pPr>
      <w:r>
        <w:rPr>
          <w:b w:val="0"/>
          <w:i w:val="0"/>
          <w:smallCaps w:val="0"/>
          <w:strike w:val="0"/>
          <w:sz w:val="12"/>
          <w:u w:val="none"/>
        </w:rPr>
        <w:t>The Federal Caseload</w:t>
      </w:r>
    </w:p>
    <w:p>
      <w:pPr>
        <w:spacing w:after="60"/>
      </w:pPr>
      <w:r>
        <w:rPr>
          <w:b w:val="0"/>
          <w:i w:val="0"/>
          <w:smallCaps w:val="0"/>
          <w:strike w:val="0"/>
          <w:sz w:val="12"/>
          <w:u w:val="none"/>
        </w:rPr>
        <w:t>By the numbers</w:t>
      </w:r>
    </w:p>
    <w:p>
      <w:pPr>
        <w:spacing w:after="60"/>
      </w:pPr>
      <w:r>
        <w:rPr>
          <w:b w:val="0"/>
          <w:i w:val="0"/>
          <w:smallCaps w:val="0"/>
          <w:strike w:val="0"/>
          <w:sz w:val="12"/>
          <w:u w:val="none"/>
        </w:rPr>
        <w:t>11%</w:t>
      </w:r>
    </w:p>
    <w:p>
      <w:pPr>
        <w:spacing w:after="60"/>
      </w:pPr>
      <w:r>
        <w:rPr>
          <w:b w:val="0"/>
          <w:i w:val="0"/>
          <w:smallCaps w:val="0"/>
          <w:strike w:val="0"/>
          <w:sz w:val="12"/>
          <w:u w:val="none"/>
        </w:rPr>
        <w:t>Filings with the U.S as defendant</w:t>
      </w:r>
    </w:p>
    <w:p>
      <w:pPr>
        <w:spacing w:after="60"/>
      </w:pPr>
      <w:r>
        <w:rPr>
          <w:b w:val="0"/>
          <w:i w:val="0"/>
          <w:smallCaps w:val="0"/>
          <w:strike w:val="0"/>
          <w:sz w:val="12"/>
          <w:u w:val="none"/>
        </w:rPr>
        <w:t>31%</w:t>
      </w:r>
    </w:p>
    <w:p>
      <w:pPr>
        <w:spacing w:after="60"/>
      </w:pPr>
      <w:r>
        <w:rPr>
          <w:b w:val="0"/>
          <w:i w:val="0"/>
          <w:smallCaps w:val="0"/>
          <w:strike w:val="0"/>
          <w:sz w:val="12"/>
          <w:u w:val="none"/>
        </w:rPr>
        <w:t>New RICO-related cases</w:t>
      </w:r>
    </w:p>
    <w:p>
      <w:pPr>
        <w:spacing w:after="60"/>
      </w:pPr>
      <w:r>
        <w:rPr>
          <w:b w:val="0"/>
          <w:i w:val="0"/>
          <w:smallCaps w:val="0"/>
          <w:strike w:val="0"/>
          <w:sz w:val="12"/>
          <w:u w:val="none"/>
        </w:rPr>
        <w:t>41%</w:t>
      </w:r>
    </w:p>
    <w:p>
      <w:pPr>
        <w:spacing w:after="60"/>
      </w:pPr>
      <w:r>
        <w:rPr>
          <w:b w:val="0"/>
          <w:i w:val="0"/>
          <w:smallCaps w:val="0"/>
          <w:strike w:val="0"/>
          <w:sz w:val="12"/>
          <w:u w:val="none"/>
        </w:rPr>
        <w:t>Diversity of citizenship cases</w:t>
      </w:r>
    </w:p>
    <w:p>
      <w:pPr>
        <w:spacing w:after="60"/>
      </w:pPr>
      <w:r>
        <w:rPr>
          <w:b w:val="0"/>
          <w:i w:val="0"/>
          <w:smallCaps w:val="0"/>
          <w:strike w:val="0"/>
          <w:sz w:val="12"/>
          <w:u w:val="none"/>
        </w:rPr>
        <w:t>6%</w:t>
      </w:r>
    </w:p>
    <w:p>
      <w:pPr>
        <w:spacing w:after="60"/>
      </w:pPr>
      <w:r>
        <w:rPr>
          <w:b w:val="0"/>
          <w:i w:val="0"/>
          <w:smallCaps w:val="0"/>
          <w:strike w:val="0"/>
          <w:sz w:val="12"/>
          <w:u w:val="none"/>
        </w:rPr>
        <w:t>Drug offense defendants</w:t>
      </w:r>
    </w:p>
    <w:p>
      <w:pPr>
        <w:spacing w:after="60"/>
      </w:pPr>
      <w:r>
        <w:rPr>
          <w:b w:val="0"/>
          <w:i w:val="0"/>
          <w:smallCaps w:val="0"/>
          <w:strike w:val="0"/>
          <w:sz w:val="12"/>
          <w:u w:val="none"/>
        </w:rPr>
        <w:t>28%</w:t>
      </w:r>
    </w:p>
    <w:p>
      <w:pPr>
        <w:spacing w:after="60"/>
      </w:pPr>
      <w:r>
        <w:rPr>
          <w:b w:val="0"/>
          <w:i w:val="0"/>
          <w:smallCaps w:val="0"/>
          <w:strike w:val="0"/>
          <w:sz w:val="12"/>
          <w:u w:val="none"/>
        </w:rPr>
        <w:t>Business bankruptcy petitions</w:t>
      </w:r>
    </w:p>
    <w:p>
      <w:pPr>
        <w:spacing w:after="60"/>
      </w:pPr>
      <w:r>
        <w:rPr>
          <w:b w:val="0"/>
          <w:i w:val="0"/>
          <w:smallCaps w:val="0"/>
          <w:strike w:val="0"/>
          <w:sz w:val="12"/>
          <w:u w:val="none"/>
        </w:rPr>
        <w:t>Source: 2021 Annual Report of the Director, Administrative Office of the U.S. Courts</w:t>
      </w:r>
    </w:p>
    <w:p>
      <w:pPr>
        <w:spacing w:after="60"/>
      </w:pPr>
      <w:r>
        <w:rPr>
          <w:b w:val="0"/>
          <w:i w:val="0"/>
          <w:smallCaps w:val="0"/>
          <w:strike w:val="0"/>
          <w:sz w:val="12"/>
          <w:u w:val="none"/>
        </w:rPr>
        <w:t>In her introduction to the report, Judge Roslynn R. Mauskopf, who heads the Administrative Office of the U.S. Courts, cited a slew of unique challenges: the largest criminal prosecution in U.S. history stemming from the Jan. 6 attack at the U.S. Capitol; emergency requests for new judgeships following a major state-to-federal jurisdiction shift; and new security measures necessitated by the SolarWinds cyberattack, among others.</w:t>
      </w:r>
    </w:p>
    <w:p>
      <w:pPr>
        <w:spacing w:after="60"/>
      </w:pPr>
      <w:r>
        <w:rPr>
          <w:b w:val="0"/>
          <w:i w:val="0"/>
          <w:smallCaps w:val="0"/>
          <w:strike w:val="0"/>
          <w:sz w:val="22"/>
          <w:u w:val="single"/>
        </w:rPr>
        <w:t xml:space="preserve">But </w:t>
      </w: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2"/>
          <w:u w:val="single"/>
        </w:rPr>
        <w:t xml:space="preserve">central </w:t>
      </w:r>
      <w:r>
        <w:rPr>
          <w:b/>
          <w:i w:val="0"/>
          <w:smallCaps w:val="0"/>
          <w:strike w:val="0"/>
          <w:sz w:val="22"/>
          <w:highlight w:val="cyan"/>
          <w:u w:val="single"/>
        </w:rPr>
        <w:t>theme</w:t>
      </w:r>
      <w:r>
        <w:rPr>
          <w:b w:val="0"/>
          <w:i w:val="0"/>
          <w:smallCaps w:val="0"/>
          <w:strike w:val="0"/>
          <w:sz w:val="22"/>
          <w:u w:val="single"/>
        </w:rPr>
        <w:t xml:space="preserve"> of the report </w:t>
      </w:r>
      <w:r>
        <w:rPr>
          <w:b w:val="0"/>
          <w:i w:val="0"/>
          <w:smallCaps w:val="0"/>
          <w:strike w:val="0"/>
          <w:sz w:val="22"/>
          <w:highlight w:val="cyan"/>
          <w:u w:val="single"/>
        </w:rPr>
        <w:t xml:space="preserve">was a </w:t>
      </w:r>
      <w:r>
        <w:rPr>
          <w:b/>
          <w:i w:val="0"/>
          <w:smallCaps w:val="0"/>
          <w:strike w:val="0"/>
          <w:sz w:val="22"/>
          <w:highlight w:val="cyan"/>
          <w:u w:val="single"/>
        </w:rPr>
        <w:t>major slump</w:t>
      </w:r>
      <w:r>
        <w:rPr>
          <w:b w:val="0"/>
          <w:i w:val="0"/>
          <w:smallCaps w:val="0"/>
          <w:strike w:val="0"/>
          <w:sz w:val="22"/>
          <w:u w:val="single"/>
        </w:rPr>
        <w:t xml:space="preserve"> in activity </w:t>
      </w:r>
      <w:r>
        <w:rPr>
          <w:b w:val="0"/>
          <w:i w:val="0"/>
          <w:smallCaps w:val="0"/>
          <w:strike w:val="0"/>
          <w:sz w:val="22"/>
          <w:highlight w:val="cyan"/>
          <w:u w:val="single"/>
        </w:rPr>
        <w:t>across</w:t>
      </w:r>
      <w:r>
        <w:rPr>
          <w:b w:val="0"/>
          <w:i w:val="0"/>
          <w:smallCaps w:val="0"/>
          <w:strike w:val="0"/>
          <w:sz w:val="22"/>
          <w:u w:val="single"/>
        </w:rPr>
        <w:t xml:space="preserve"> </w:t>
      </w:r>
      <w:r>
        <w:rPr>
          <w:b/>
          <w:i w:val="0"/>
          <w:smallCaps w:val="0"/>
          <w:strike w:val="0"/>
          <w:sz w:val="22"/>
          <w:u w:val="single"/>
        </w:rPr>
        <w:t xml:space="preserve">nearly </w:t>
      </w:r>
      <w:r>
        <w:rPr>
          <w:b/>
          <w:i w:val="0"/>
          <w:smallCaps w:val="0"/>
          <w:strike w:val="0"/>
          <w:sz w:val="22"/>
          <w:highlight w:val="cyan"/>
          <w:u w:val="single"/>
        </w:rPr>
        <w:t>every part</w:t>
      </w:r>
      <w:r>
        <w:rPr>
          <w:b w:val="0"/>
          <w:i w:val="0"/>
          <w:smallCaps w:val="0"/>
          <w:strike w:val="0"/>
          <w:sz w:val="22"/>
          <w:u w:val="single"/>
        </w:rPr>
        <w:t xml:space="preserve"> of the federal judiciary</w:t>
      </w:r>
      <w:r>
        <w:rPr>
          <w:b w:val="0"/>
          <w:i w:val="0"/>
          <w:smallCaps w:val="0"/>
          <w:strike w:val="0"/>
          <w:sz w:val="16"/>
          <w:u w:val="none"/>
        </w:rPr>
        <w:t xml:space="preserve">, from pretrial services to bankruptcies to multi-district litigations. </w:t>
      </w:r>
      <w:r>
        <w:rPr>
          <w:b w:val="0"/>
          <w:i w:val="0"/>
          <w:smallCaps w:val="0"/>
          <w:strike w:val="0"/>
          <w:sz w:val="22"/>
          <w:highlight w:val="cyan"/>
          <w:u w:val="single"/>
        </w:rPr>
        <w:t xml:space="preserve">Across </w:t>
      </w:r>
      <w:r>
        <w:rPr>
          <w:b/>
          <w:i w:val="0"/>
          <w:smallCaps w:val="0"/>
          <w:strike w:val="0"/>
          <w:sz w:val="22"/>
          <w:highlight w:val="cyan"/>
          <w:u w:val="single"/>
        </w:rPr>
        <w:t>all</w:t>
      </w:r>
      <w:r>
        <w:rPr>
          <w:b/>
          <w:i w:val="0"/>
          <w:smallCaps w:val="0"/>
          <w:strike w:val="0"/>
          <w:sz w:val="22"/>
          <w:u w:val="single"/>
        </w:rPr>
        <w:t xml:space="preserve"> 94</w:t>
      </w:r>
      <w:r>
        <w:rPr>
          <w:b w:val="0"/>
          <w:i w:val="0"/>
          <w:smallCaps w:val="0"/>
          <w:strike w:val="0"/>
          <w:sz w:val="22"/>
          <w:u w:val="single"/>
        </w:rPr>
        <w:t xml:space="preserve"> </w:t>
      </w:r>
      <w:r>
        <w:rPr>
          <w:b w:val="0"/>
          <w:i w:val="0"/>
          <w:smallCaps w:val="0"/>
          <w:strike w:val="0"/>
          <w:sz w:val="22"/>
          <w:highlight w:val="cyan"/>
          <w:u w:val="single"/>
        </w:rPr>
        <w:t>district</w:t>
      </w:r>
      <w:r>
        <w:rPr>
          <w:b w:val="0"/>
          <w:i w:val="0"/>
          <w:smallCaps w:val="0"/>
          <w:strike w:val="0"/>
          <w:sz w:val="22"/>
          <w:u w:val="single"/>
        </w:rPr>
        <w:t xml:space="preserve"> courts, new civil case </w:t>
      </w:r>
      <w:r>
        <w:rPr>
          <w:b w:val="0"/>
          <w:i w:val="0"/>
          <w:smallCaps w:val="0"/>
          <w:strike w:val="0"/>
          <w:sz w:val="22"/>
          <w:highlight w:val="cyan"/>
          <w:u w:val="single"/>
        </w:rPr>
        <w:t xml:space="preserve">filings </w:t>
      </w:r>
      <w:r>
        <w:rPr>
          <w:b/>
          <w:i w:val="0"/>
          <w:smallCaps w:val="0"/>
          <w:strike w:val="0"/>
          <w:sz w:val="22"/>
          <w:highlight w:val="cyan"/>
          <w:u w:val="single"/>
        </w:rPr>
        <w:t>dropped</w:t>
      </w:r>
      <w:r>
        <w:rPr>
          <w:b w:val="0"/>
          <w:i w:val="0"/>
          <w:smallCaps w:val="0"/>
          <w:strike w:val="0"/>
          <w:sz w:val="16"/>
          <w:u w:val="none"/>
        </w:rPr>
        <w:t xml:space="preserve"> 126,014 — </w:t>
      </w:r>
      <w:r>
        <w:rPr>
          <w:b w:val="0"/>
          <w:i w:val="0"/>
          <w:smallCaps w:val="0"/>
          <w:strike w:val="0"/>
          <w:sz w:val="22"/>
          <w:u w:val="single"/>
        </w:rPr>
        <w:t xml:space="preserve">a staggering </w:t>
      </w:r>
      <w:r>
        <w:rPr>
          <w:b/>
          <w:i w:val="0"/>
          <w:smallCaps w:val="0"/>
          <w:strike w:val="0"/>
          <w:sz w:val="22"/>
          <w:highlight w:val="cyan"/>
          <w:u w:val="single"/>
        </w:rPr>
        <w:t>27 percent</w:t>
      </w:r>
      <w:r>
        <w:rPr>
          <w:b w:val="0"/>
          <w:i w:val="0"/>
          <w:smallCaps w:val="0"/>
          <w:strike w:val="0"/>
          <w:sz w:val="16"/>
          <w:u w:val="none"/>
        </w:rPr>
        <w:t xml:space="preserve"> — to 344,567. </w:t>
      </w:r>
      <w:r>
        <w:rPr>
          <w:b w:val="0"/>
          <w:i w:val="0"/>
          <w:smallCaps w:val="0"/>
          <w:strike w:val="0"/>
          <w:sz w:val="22"/>
          <w:highlight w:val="cyan"/>
          <w:u w:val="single"/>
        </w:rPr>
        <w:t>That</w:t>
      </w:r>
      <w:r>
        <w:rPr>
          <w:b w:val="0"/>
          <w:i w:val="0"/>
          <w:smallCaps w:val="0"/>
          <w:strike w:val="0"/>
          <w:sz w:val="22"/>
          <w:u w:val="single"/>
        </w:rPr>
        <w:t xml:space="preserve"> change </w:t>
      </w:r>
      <w:r>
        <w:rPr>
          <w:b w:val="0"/>
          <w:i w:val="0"/>
          <w:smallCaps w:val="0"/>
          <w:strike w:val="0"/>
          <w:sz w:val="22"/>
          <w:highlight w:val="cyan"/>
          <w:u w:val="single"/>
        </w:rPr>
        <w:t>brought the</w:t>
      </w:r>
      <w:r>
        <w:rPr>
          <w:b w:val="0"/>
          <w:i w:val="0"/>
          <w:smallCaps w:val="0"/>
          <w:strike w:val="0"/>
          <w:sz w:val="22"/>
          <w:u w:val="single"/>
        </w:rPr>
        <w:t xml:space="preserve"> </w:t>
      </w:r>
      <w:r>
        <w:rPr>
          <w:b/>
          <w:i w:val="0"/>
          <w:smallCaps w:val="0"/>
          <w:strike w:val="0"/>
          <w:sz w:val="22"/>
          <w:u w:val="single"/>
        </w:rPr>
        <w:t xml:space="preserve">per-judge </w:t>
      </w:r>
      <w:r>
        <w:rPr>
          <w:b/>
          <w:i w:val="0"/>
          <w:smallCaps w:val="0"/>
          <w:strike w:val="0"/>
          <w:sz w:val="22"/>
          <w:highlight w:val="cyan"/>
          <w:u w:val="single"/>
        </w:rPr>
        <w:t>caseload</w:t>
      </w:r>
      <w:r>
        <w:rPr>
          <w:b w:val="0"/>
          <w:i w:val="0"/>
          <w:smallCaps w:val="0"/>
          <w:strike w:val="0"/>
          <w:sz w:val="22"/>
          <w:u w:val="single"/>
        </w:rPr>
        <w:t xml:space="preserve"> to 509, </w:t>
      </w:r>
      <w:r>
        <w:rPr>
          <w:b/>
          <w:i w:val="0"/>
          <w:smallCaps w:val="0"/>
          <w:strike w:val="0"/>
          <w:sz w:val="22"/>
          <w:highlight w:val="cyan"/>
          <w:u w:val="single"/>
        </w:rPr>
        <w:t>down</w:t>
      </w:r>
      <w:r>
        <w:rPr>
          <w:b w:val="0"/>
          <w:i w:val="0"/>
          <w:smallCaps w:val="0"/>
          <w:strike w:val="0"/>
          <w:sz w:val="16"/>
          <w:u w:val="none"/>
        </w:rPr>
        <w:t xml:space="preserve"> from 695 in 2020.</w:t>
      </w:r>
    </w:p>
    <w:p>
      <w:pPr>
        <w:spacing w:after="60"/>
      </w:pPr>
      <w:r>
        <w:rPr>
          <w:b w:val="0"/>
          <w:i w:val="0"/>
          <w:smallCaps w:val="0"/>
          <w:strike w:val="0"/>
          <w:sz w:val="22"/>
          <w:u w:val="single"/>
        </w:rPr>
        <w:t>In</w:t>
      </w:r>
      <w:r>
        <w:rPr>
          <w:b w:val="0"/>
          <w:i w:val="0"/>
          <w:smallCaps w:val="0"/>
          <w:strike w:val="0"/>
          <w:sz w:val="16"/>
          <w:u w:val="none"/>
        </w:rPr>
        <w:t xml:space="preserve"> the 12 regional courts of </w:t>
      </w:r>
      <w:r>
        <w:rPr>
          <w:b w:val="0"/>
          <w:i w:val="0"/>
          <w:smallCaps w:val="0"/>
          <w:strike w:val="0"/>
          <w:sz w:val="22"/>
          <w:u w:val="single"/>
        </w:rPr>
        <w:t xml:space="preserve">appeals, new filings fell </w:t>
      </w:r>
      <w:r>
        <w:rPr>
          <w:b/>
          <w:i w:val="0"/>
          <w:smallCaps w:val="0"/>
          <w:strike w:val="0"/>
          <w:sz w:val="22"/>
          <w:u w:val="single"/>
        </w:rPr>
        <w:t>8 percent</w:t>
      </w:r>
      <w:r>
        <w:rPr>
          <w:b w:val="0"/>
          <w:i w:val="0"/>
          <w:smallCaps w:val="0"/>
          <w:strike w:val="0"/>
          <w:sz w:val="22"/>
          <w:u w:val="single"/>
        </w:rPr>
        <w:t xml:space="preserve"> to 44,546, with drops occurring in civil matters</w:t>
      </w:r>
      <w:r>
        <w:rPr>
          <w:b w:val="0"/>
          <w:i w:val="0"/>
          <w:smallCaps w:val="0"/>
          <w:strike w:val="0"/>
          <w:sz w:val="16"/>
          <w:u w:val="none"/>
        </w:rPr>
        <w:t xml:space="preserve">, original proceedings </w:t>
      </w:r>
      <w:r>
        <w:rPr>
          <w:b w:val="0"/>
          <w:i w:val="0"/>
          <w:smallCaps w:val="0"/>
          <w:strike w:val="0"/>
          <w:sz w:val="22"/>
          <w:u w:val="single"/>
        </w:rPr>
        <w:t>and</w:t>
      </w:r>
      <w:r>
        <w:rPr>
          <w:b w:val="0"/>
          <w:i w:val="0"/>
          <w:smallCaps w:val="0"/>
          <w:strike w:val="0"/>
          <w:sz w:val="16"/>
          <w:u w:val="none"/>
        </w:rPr>
        <w:t xml:space="preserve"> administrative </w:t>
      </w:r>
      <w:r>
        <w:rPr>
          <w:b w:val="0"/>
          <w:i w:val="0"/>
          <w:smallCaps w:val="0"/>
          <w:strike w:val="0"/>
          <w:sz w:val="22"/>
          <w:u w:val="single"/>
        </w:rPr>
        <w:t xml:space="preserve">agency cases. Appeals by </w:t>
      </w:r>
      <w:r>
        <w:rPr>
          <w:b/>
          <w:i w:val="0"/>
          <w:smallCaps w:val="0"/>
          <w:strike w:val="0"/>
          <w:sz w:val="22"/>
          <w:highlight w:val="cyan"/>
          <w:u w:val="single"/>
        </w:rPr>
        <w:t>pro se</w:t>
      </w:r>
      <w:r>
        <w:rPr>
          <w:b w:val="0"/>
          <w:i w:val="0"/>
          <w:smallCaps w:val="0"/>
          <w:strike w:val="0"/>
          <w:sz w:val="22"/>
          <w:u w:val="single"/>
        </w:rPr>
        <w:t xml:space="preserve"> litigant</w:t>
      </w:r>
      <w:r>
        <w:rPr>
          <w:b/>
          <w:i w:val="0"/>
          <w:smallCaps w:val="0"/>
          <w:strike w:val="0"/>
          <w:sz w:val="22"/>
          <w:highlight w:val="cyan"/>
          <w:u w:val="single"/>
        </w:rPr>
        <w:t>s</w:t>
      </w:r>
      <w:r>
        <w:rPr>
          <w:b w:val="0"/>
          <w:i w:val="0"/>
          <w:smallCaps w:val="0"/>
          <w:strike w:val="0"/>
          <w:sz w:val="22"/>
          <w:highlight w:val="cyan"/>
          <w:u w:val="single"/>
        </w:rPr>
        <w:t>, which represent</w:t>
      </w:r>
      <w:r>
        <w:rPr>
          <w:b w:val="0"/>
          <w:i w:val="0"/>
          <w:smallCaps w:val="0"/>
          <w:strike w:val="0"/>
          <w:sz w:val="22"/>
          <w:u w:val="single"/>
        </w:rPr>
        <w:t xml:space="preserve"> </w:t>
      </w:r>
      <w:r>
        <w:rPr>
          <w:b/>
          <w:i w:val="0"/>
          <w:smallCaps w:val="0"/>
          <w:strike w:val="0"/>
          <w:sz w:val="22"/>
          <w:u w:val="single"/>
        </w:rPr>
        <w:t xml:space="preserve">almost </w:t>
      </w:r>
      <w:r>
        <w:rPr>
          <w:b/>
          <w:i w:val="0"/>
          <w:smallCaps w:val="0"/>
          <w:strike w:val="0"/>
          <w:sz w:val="22"/>
          <w:highlight w:val="cyan"/>
          <w:u w:val="single"/>
        </w:rPr>
        <w:t>half</w:t>
      </w:r>
      <w:r>
        <w:rPr>
          <w:b w:val="0"/>
          <w:i w:val="0"/>
          <w:smallCaps w:val="0"/>
          <w:strike w:val="0"/>
          <w:sz w:val="22"/>
          <w:highlight w:val="cyan"/>
          <w:u w:val="single"/>
        </w:rPr>
        <w:t xml:space="preserve"> of</w:t>
      </w:r>
      <w:r>
        <w:rPr>
          <w:b w:val="0"/>
          <w:i w:val="0"/>
          <w:smallCaps w:val="0"/>
          <w:strike w:val="0"/>
          <w:sz w:val="22"/>
          <w:u w:val="single"/>
        </w:rPr>
        <w:t xml:space="preserve"> </w:t>
      </w:r>
      <w:r>
        <w:rPr>
          <w:b/>
          <w:i w:val="0"/>
          <w:smallCaps w:val="0"/>
          <w:strike w:val="0"/>
          <w:sz w:val="22"/>
          <w:u w:val="single"/>
        </w:rPr>
        <w:t xml:space="preserve">new </w:t>
      </w:r>
      <w:r>
        <w:rPr>
          <w:b/>
          <w:i w:val="0"/>
          <w:smallCaps w:val="0"/>
          <w:strike w:val="0"/>
          <w:sz w:val="22"/>
          <w:highlight w:val="cyan"/>
          <w:u w:val="single"/>
        </w:rPr>
        <w:t>filings</w:t>
      </w:r>
      <w:r>
        <w:rPr>
          <w:b w:val="0"/>
          <w:i w:val="0"/>
          <w:smallCaps w:val="0"/>
          <w:strike w:val="0"/>
          <w:sz w:val="22"/>
          <w:highlight w:val="cyan"/>
          <w:u w:val="single"/>
        </w:rPr>
        <w:t>, were down</w:t>
      </w:r>
      <w:r>
        <w:rPr>
          <w:b w:val="0"/>
          <w:i w:val="0"/>
          <w:smallCaps w:val="0"/>
          <w:strike w:val="0"/>
          <w:sz w:val="22"/>
          <w:u w:val="single"/>
        </w:rPr>
        <w:t xml:space="preserve"> 9 percent</w:t>
      </w:r>
      <w:r>
        <w:rPr>
          <w:b w:val="0"/>
          <w:i w:val="0"/>
          <w:smallCaps w:val="0"/>
          <w:strike w:val="0"/>
          <w:sz w:val="16"/>
          <w:u w:val="none"/>
        </w:rPr>
        <w:t>.</w:t>
      </w:r>
    </w:p>
    <w:p>
      <w:pPr>
        <w:spacing w:after="60"/>
      </w:pPr>
      <w:r>
        <w:rPr>
          <w:b w:val="0"/>
          <w:i w:val="0"/>
          <w:smallCaps w:val="0"/>
          <w:strike w:val="0"/>
          <w:sz w:val="16"/>
          <w:u w:val="none"/>
        </w:rPr>
        <w:t xml:space="preserve">Reflecting COVID-related slowdowns, the total number of pending civil cases and criminal defendants was up 12 percent at the end of the fiscal year, which ended Sept. 30. While new criminal cases increased nearly 1 percent, </w:t>
      </w:r>
      <w:r>
        <w:rPr>
          <w:b/>
          <w:i w:val="0"/>
          <w:smallCaps w:val="0"/>
          <w:strike w:val="0"/>
          <w:sz w:val="22"/>
          <w:highlight w:val="cyan"/>
          <w:u w:val="single"/>
        </w:rPr>
        <w:t>84 percent</w:t>
      </w:r>
      <w:r>
        <w:rPr>
          <w:b w:val="0"/>
          <w:i w:val="0"/>
          <w:smallCaps w:val="0"/>
          <w:strike w:val="0"/>
          <w:sz w:val="22"/>
          <w:highlight w:val="cyan"/>
          <w:u w:val="single"/>
        </w:rPr>
        <w:t xml:space="preserve"> of all</w:t>
      </w:r>
      <w:r>
        <w:rPr>
          <w:b w:val="0"/>
          <w:i w:val="0"/>
          <w:smallCaps w:val="0"/>
          <w:strike w:val="0"/>
          <w:sz w:val="22"/>
          <w:u w:val="single"/>
        </w:rPr>
        <w:t xml:space="preserve"> federal judicial </w:t>
      </w:r>
      <w:r>
        <w:rPr>
          <w:b w:val="0"/>
          <w:i w:val="0"/>
          <w:smallCaps w:val="0"/>
          <w:strike w:val="0"/>
          <w:sz w:val="22"/>
          <w:highlight w:val="cyan"/>
          <w:u w:val="single"/>
        </w:rPr>
        <w:t xml:space="preserve">districts had </w:t>
      </w:r>
      <w:r>
        <w:rPr>
          <w:b/>
          <w:i w:val="0"/>
          <w:smallCaps w:val="0"/>
          <w:strike w:val="0"/>
          <w:sz w:val="22"/>
          <w:highlight w:val="cyan"/>
          <w:u w:val="single"/>
        </w:rPr>
        <w:t>smaller caseloads</w:t>
      </w:r>
      <w:r>
        <w:rPr>
          <w:b w:val="0"/>
          <w:i w:val="0"/>
          <w:smallCaps w:val="0"/>
          <w:strike w:val="0"/>
          <w:sz w:val="22"/>
          <w:u w:val="single"/>
        </w:rPr>
        <w:t xml:space="preserve"> involving</w:t>
      </w:r>
      <w:r>
        <w:rPr>
          <w:b w:val="0"/>
          <w:i w:val="0"/>
          <w:smallCaps w:val="0"/>
          <w:strike w:val="0"/>
          <w:sz w:val="16"/>
          <w:u w:val="none"/>
        </w:rPr>
        <w:t xml:space="preserve"> individuals with </w:t>
      </w:r>
      <w:r>
        <w:rPr>
          <w:b w:val="0"/>
          <w:i w:val="0"/>
          <w:smallCaps w:val="0"/>
          <w:strike w:val="0"/>
          <w:sz w:val="22"/>
          <w:u w:val="single"/>
        </w:rPr>
        <w:t>limited financial resources</w:t>
      </w:r>
      <w:r>
        <w:rPr>
          <w:b w:val="0"/>
          <w:i w:val="0"/>
          <w:smallCaps w:val="0"/>
          <w:strike w:val="0"/>
          <w:sz w:val="16"/>
          <w:u w:val="none"/>
        </w:rPr>
        <w:t>.</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