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Patent litigation declining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Julie</w:t>
      </w:r>
      <w:r>
        <w:rPr>
          <w:b/>
          <w:i w:val="0"/>
          <w:smallCaps w:val="0"/>
          <w:strike w:val="0"/>
          <w:sz w:val="26"/>
          <w:u w:val="none"/>
        </w:rPr>
        <w:t xml:space="preserve"> Carlson 5/6</w:t>
      </w:r>
      <w:r>
        <w:rPr>
          <w:b w:val="0"/>
          <w:i w:val="0"/>
          <w:smallCaps w:val="0"/>
          <w:strike w:val="0"/>
          <w:u w:val="none"/>
        </w:rPr>
        <w:t xml:space="preserve">, Director of Economic Strategy at Qualcomm, was an advisor to Chairman Joseph Simons, Commissioner William Kovacic, and BE Director Marta </w:t>
      </w:r>
      <w:r>
        <w:rPr>
          <w:b w:val="0"/>
          <w:i w:val="0"/>
          <w:smallCaps w:val="0"/>
          <w:strike w:val="0"/>
          <w:u w:val="none"/>
        </w:rPr>
        <w:t>Wosinska</w:t>
      </w:r>
      <w:r>
        <w:rPr>
          <w:b w:val="0"/>
          <w:i w:val="0"/>
          <w:smallCaps w:val="0"/>
          <w:strike w:val="0"/>
          <w:u w:val="none"/>
        </w:rPr>
        <w:t xml:space="preserve">, was as an assistant professor of economics at Trinity University, Ph.D. in economics from Michigan State University, “New Data Show There Is a Problem with the U.S. Patent System—But It’s Not Patent Trolls”, </w:t>
      </w:r>
      <w:r>
        <w:rPr>
          <w:b w:val="0"/>
          <w:i/>
          <w:smallCaps w:val="0"/>
          <w:strike w:val="0"/>
          <w:u w:val="none"/>
        </w:rPr>
        <w:t>IP Watchdog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, May 6, 2024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first graph in the </w:t>
      </w:r>
      <w:r>
        <w:rPr>
          <w:b w:val="0"/>
          <w:i w:val="0"/>
          <w:smallCaps w:val="0"/>
          <w:strike w:val="0"/>
          <w:sz w:val="22"/>
          <w:u w:val="single"/>
        </w:rPr>
        <w:t>report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clearly </w:t>
      </w:r>
      <w:r>
        <w:rPr>
          <w:b/>
          <w:i w:val="0"/>
          <w:smallCaps w:val="0"/>
          <w:strike w:val="0"/>
          <w:sz w:val="22"/>
          <w:u w:val="single"/>
        </w:rPr>
        <w:t>dispels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notion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patent litigation is </w:t>
      </w:r>
      <w:r>
        <w:rPr>
          <w:b w:val="0"/>
          <w:i w:val="0"/>
          <w:smallCaps w:val="0"/>
          <w:strike w:val="0"/>
          <w:sz w:val="22"/>
          <w:u w:val="single"/>
        </w:rPr>
        <w:t>excessive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 shows the </w:t>
      </w:r>
      <w:r>
        <w:rPr>
          <w:b w:val="0"/>
          <w:i w:val="0"/>
          <w:smallCaps w:val="0"/>
          <w:strike w:val="0"/>
          <w:sz w:val="22"/>
          <w:u w:val="single"/>
        </w:rPr>
        <w:t>trends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time in the number of patent grants and the number of patent infringement complaints filed in U.S. district courts. As seen in the graph</w:t>
      </w:r>
      <w:r>
        <w:rPr>
          <w:b w:val="0"/>
          <w:i w:val="0"/>
          <w:smallCaps w:val="0"/>
          <w:strike w:val="0"/>
          <w:sz w:val="22"/>
          <w:u w:val="single"/>
        </w:rPr>
        <w:t>, there is a sharp increase in the number of complaints filed after 2011 due to the anti-joinder provisions of the America Invents Act (AIA).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astute observers of the U.S. patent system understand, this increase in complaints does not represent new disputes but merely a separation of defendants into individual lawsuits thereby mechanically increasing the number of complaints. </w:t>
      </w:r>
      <w:r>
        <w:rPr>
          <w:b w:val="0"/>
          <w:i w:val="0"/>
          <w:smallCaps w:val="0"/>
          <w:strike w:val="0"/>
          <w:sz w:val="22"/>
          <w:u w:val="single"/>
        </w:rPr>
        <w:t>Therefore, the decline in complaints observed after 2013 is more impressive than it appears as the decline would have been even greater were it not for the anti-joinder provision.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Even still,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complaints are only about a third higher than they were in the period leading up to the AIA. Furthermore, patent infringement complaints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a share of granted patents </w:t>
      </w:r>
      <w:r>
        <w:rPr>
          <w:b/>
          <w:i w:val="0"/>
          <w:smallCaps w:val="0"/>
          <w:strike w:val="0"/>
          <w:sz w:val="22"/>
          <w:u w:val="single"/>
        </w:rPr>
        <w:t xml:space="preserve">is low and is also declining. </w:t>
      </w:r>
      <w:r>
        <w:rPr>
          <w:b w:val="0"/>
          <w:i w:val="0"/>
          <w:smallCaps w:val="0"/>
          <w:strike w:val="0"/>
          <w:sz w:val="16"/>
          <w:u w:val="none"/>
        </w:rPr>
        <w:t>Marcum reports this share averaged 1.7% from 2013 to 2017 and is less than 1% today.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