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Prefer our evidence—based on empirical studies </w:t>
      </w:r>
    </w:p>
    <w:p>
      <w:pPr>
        <w:spacing w:after="80"/>
      </w:pPr>
      <w:r>
        <w:rPr>
          <w:b/>
          <w:i w:val="0"/>
          <w:smallCaps w:val="0"/>
          <w:strike w:val="0"/>
          <w:sz w:val="26"/>
          <w:u w:val="none"/>
        </w:rPr>
        <w:t>PR Newswire 24</w:t>
      </w:r>
      <w:r>
        <w:rPr>
          <w:b w:val="0"/>
          <w:i w:val="0"/>
          <w:smallCaps w:val="0"/>
          <w:strike w:val="0"/>
          <w:u w:val="none"/>
        </w:rPr>
        <w:t xml:space="preserve">, press release distribution partner with an unparalleled global reach of more than 440,000 newsrooms, websites, direct feeds, journalists and influencers, “U.S. District Courts See Decline in Patent Litigation Despite Rise in Patents Granted”, </w:t>
      </w:r>
      <w:r>
        <w:rPr>
          <w:b w:val="0"/>
          <w:i/>
          <w:smallCaps w:val="0"/>
          <w:strike w:val="0"/>
          <w:u w:val="none"/>
        </w:rPr>
        <w:t>PR Newswire</w:t>
      </w:r>
      <w:r>
        <w:rPr>
          <w:b w:val="0"/>
          <w:i w:val="0"/>
          <w:smallCaps w:val="0"/>
          <w:strike w:val="0"/>
          <w:u w:val="none"/>
        </w:rPr>
        <w:t xml:space="preserve">, </w:t>
      </w:r>
      <w:r>
        <w:rPr>
          <w:b w:val="0"/>
          <w:i w:val="0"/>
          <w:smallCaps w:val="0"/>
          <w:strike w:val="0"/>
          <w:u w:val="none"/>
        </w:rPr>
        <w:t xml:space="preserve">, April 26, 2024 </w:t>
      </w:r>
    </w:p>
    <w:p>
      <w:pPr>
        <w:spacing w:after="60"/>
      </w:pPr>
      <w:r>
        <w:rPr>
          <w:b w:val="0"/>
          <w:i w:val="0"/>
          <w:smallCaps w:val="0"/>
          <w:strike w:val="0"/>
          <w:sz w:val="16"/>
          <w:u w:val="none"/>
        </w:rPr>
        <w:t xml:space="preserve">NEW YORK, April 26, 2024 /PRNewswire/ -- </w:t>
      </w:r>
      <w:r>
        <w:rPr>
          <w:b w:val="0"/>
          <w:i w:val="0"/>
          <w:smallCaps w:val="0"/>
          <w:strike w:val="0"/>
          <w:sz w:val="22"/>
          <w:u w:val="single"/>
        </w:rPr>
        <w:t>A newly released study from Marcum LLP reveals</w:t>
      </w:r>
      <w:r>
        <w:rPr>
          <w:b w:val="0"/>
          <w:i w:val="0"/>
          <w:smallCaps w:val="0"/>
          <w:strike w:val="0"/>
          <w:sz w:val="16"/>
          <w:u w:val="none"/>
        </w:rPr>
        <w:t xml:space="preserve"> surprising </w:t>
      </w:r>
      <w:r>
        <w:rPr>
          <w:b w:val="0"/>
          <w:i w:val="0"/>
          <w:smallCaps w:val="0"/>
          <w:strike w:val="0"/>
          <w:sz w:val="22"/>
          <w:u w:val="single"/>
        </w:rPr>
        <w:t>trends in two decades of patent litigation</w:t>
      </w:r>
      <w:r>
        <w:rPr>
          <w:b w:val="0"/>
          <w:i w:val="0"/>
          <w:smallCaps w:val="0"/>
          <w:strike w:val="0"/>
          <w:sz w:val="16"/>
          <w:u w:val="none"/>
        </w:rPr>
        <w:t xml:space="preserve">, shedding light on unexpected patterns that counter </w:t>
      </w:r>
      <w:r>
        <w:rPr>
          <w:b w:val="0"/>
          <w:i w:val="0"/>
          <w:smallCaps w:val="0"/>
          <w:strike w:val="0"/>
          <w:sz w:val="22"/>
          <w:u w:val="single"/>
        </w:rPr>
        <w:t xml:space="preserve">the steady increase in patents </w:t>
      </w:r>
      <w:r>
        <w:rPr>
          <w:b/>
          <w:i w:val="0"/>
          <w:smallCaps w:val="0"/>
          <w:strike w:val="0"/>
          <w:sz w:val="22"/>
          <w:u w:val="single"/>
        </w:rPr>
        <w:t>granted</w:t>
      </w:r>
      <w:r>
        <w:rPr>
          <w:b w:val="0"/>
          <w:i w:val="0"/>
          <w:smallCaps w:val="0"/>
          <w:strike w:val="0"/>
          <w:sz w:val="22"/>
          <w:u w:val="single"/>
        </w:rPr>
        <w:t xml:space="preserve"> by the U.S. Patent and Trademark Office</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2024</w:t>
      </w:r>
      <w:r>
        <w:rPr>
          <w:b w:val="0"/>
          <w:i w:val="0"/>
          <w:smallCaps w:val="0"/>
          <w:strike w:val="0"/>
          <w:sz w:val="16"/>
          <w:u w:val="none"/>
        </w:rPr>
        <w:t xml:space="preserve"> </w:t>
      </w:r>
      <w:r>
        <w:rPr>
          <w:b w:val="0"/>
          <w:i w:val="0"/>
          <w:smallCaps w:val="0"/>
          <w:strike w:val="0"/>
          <w:sz w:val="22"/>
          <w:u w:val="single"/>
        </w:rPr>
        <w:t xml:space="preserve">Marcum Patent Litigation Study examines the </w:t>
      </w:r>
      <w:r>
        <w:rPr>
          <w:b/>
          <w:i w:val="0"/>
          <w:smallCaps w:val="0"/>
          <w:strike w:val="0"/>
          <w:sz w:val="22"/>
          <w:u w:val="single"/>
        </w:rPr>
        <w:t>decline in patent infringement lawsuits,</w:t>
      </w:r>
      <w:r>
        <w:rPr>
          <w:b w:val="0"/>
          <w:i w:val="0"/>
          <w:smallCaps w:val="0"/>
          <w:strike w:val="0"/>
          <w:sz w:val="22"/>
          <w:u w:val="single"/>
        </w:rPr>
        <w:t xml:space="preserve"> </w:t>
      </w:r>
      <w:r>
        <w:rPr>
          <w:b w:val="0"/>
          <w:i w:val="0"/>
          <w:smallCaps w:val="0"/>
          <w:strike w:val="0"/>
          <w:sz w:val="16"/>
          <w:u w:val="none"/>
        </w:rPr>
        <w:t>median damage awards, the impact of court decisions on permanent injunctions, and shifting legal venue preferences, providing strategic insight for business and legal professionals.</w:t>
      </w:r>
    </w:p>
    <w:p>
      <w:pPr>
        <w:spacing w:after="60"/>
      </w:pPr>
      <w:r>
        <w:rPr>
          <w:b w:val="0"/>
          <w:i w:val="0"/>
          <w:smallCaps w:val="0"/>
          <w:strike w:val="0"/>
          <w:sz w:val="22"/>
          <w:u w:val="single"/>
        </w:rPr>
        <w:t>Key Finding</w:t>
      </w:r>
      <w:r>
        <w:rPr>
          <w:b w:val="0"/>
          <w:i w:val="0"/>
          <w:smallCaps w:val="0"/>
          <w:strike w:val="0"/>
          <w:u w:val="none"/>
        </w:rPr>
        <w:t>s:</w:t>
      </w:r>
    </w:p>
    <w:p>
      <w:pPr>
        <w:spacing w:after="60"/>
      </w:pPr>
      <w:r>
        <w:rPr>
          <w:b w:val="0"/>
          <w:i w:val="0"/>
          <w:smallCaps w:val="0"/>
          <w:strike w:val="0"/>
          <w:sz w:val="16"/>
          <w:u w:val="none"/>
        </w:rPr>
        <w:t>This study offers insight into the trends and shifts that may influence how businesses approach patent litigation</w:t>
      </w:r>
    </w:p>
    <w:p>
      <w:pPr>
        <w:spacing w:after="60"/>
      </w:pPr>
      <w:r>
        <w:rPr>
          <w:b w:val="0"/>
          <w:i w:val="0"/>
          <w:smallCaps w:val="0"/>
          <w:strike w:val="0"/>
          <w:sz w:val="22"/>
          <w:u w:val="single"/>
        </w:rPr>
        <w:t xml:space="preserve">Overall </w:t>
      </w:r>
      <w:r>
        <w:rPr>
          <w:b/>
          <w:i w:val="0"/>
          <w:smallCaps w:val="0"/>
          <w:strike w:val="0"/>
          <w:sz w:val="22"/>
          <w:u w:val="single"/>
        </w:rPr>
        <w:t>Drop</w:t>
      </w:r>
      <w:r>
        <w:rPr>
          <w:b w:val="0"/>
          <w:i w:val="0"/>
          <w:smallCaps w:val="0"/>
          <w:strike w:val="0"/>
          <w:sz w:val="22"/>
          <w:u w:val="single"/>
        </w:rPr>
        <w:t xml:space="preserve"> in Litigation</w:t>
      </w:r>
      <w:r>
        <w:rPr>
          <w:b w:val="0"/>
          <w:i w:val="0"/>
          <w:smallCaps w:val="0"/>
          <w:strike w:val="0"/>
          <w:sz w:val="16"/>
          <w:u w:val="none"/>
        </w:rPr>
        <w:t xml:space="preserve">: </w:t>
      </w:r>
      <w:r>
        <w:rPr>
          <w:b w:val="0"/>
          <w:i w:val="0"/>
          <w:smallCaps w:val="0"/>
          <w:strike w:val="0"/>
          <w:sz w:val="22"/>
          <w:u w:val="single"/>
        </w:rPr>
        <w:t>Although</w:t>
      </w:r>
      <w:r>
        <w:rPr>
          <w:b w:val="0"/>
          <w:i w:val="0"/>
          <w:smallCaps w:val="0"/>
          <w:strike w:val="0"/>
          <w:sz w:val="16"/>
          <w:u w:val="none"/>
        </w:rPr>
        <w:t xml:space="preserve"> the number of </w:t>
      </w:r>
      <w:r>
        <w:rPr>
          <w:b w:val="0"/>
          <w:i w:val="0"/>
          <w:smallCaps w:val="0"/>
          <w:strike w:val="0"/>
          <w:sz w:val="22"/>
          <w:u w:val="single"/>
        </w:rPr>
        <w:t>patents</w:t>
      </w:r>
      <w:r>
        <w:rPr>
          <w:b w:val="0"/>
          <w:i w:val="0"/>
          <w:smallCaps w:val="0"/>
          <w:strike w:val="0"/>
          <w:sz w:val="16"/>
          <w:u w:val="none"/>
        </w:rPr>
        <w:t xml:space="preserve"> granted annually continues to </w:t>
      </w:r>
      <w:r>
        <w:rPr>
          <w:b w:val="0"/>
          <w:i w:val="0"/>
          <w:smallCaps w:val="0"/>
          <w:strike w:val="0"/>
          <w:sz w:val="22"/>
          <w:u w:val="single"/>
        </w:rPr>
        <w:t>rise,</w:t>
      </w:r>
      <w:r>
        <w:rPr>
          <w:b w:val="0"/>
          <w:i w:val="0"/>
          <w:smallCaps w:val="0"/>
          <w:strike w:val="0"/>
          <w:sz w:val="16"/>
          <w:u w:val="none"/>
        </w:rPr>
        <w:t xml:space="preserve"> the number of </w:t>
      </w:r>
      <w:r>
        <w:rPr>
          <w:b w:val="0"/>
          <w:i w:val="0"/>
          <w:smallCaps w:val="0"/>
          <w:strike w:val="0"/>
          <w:sz w:val="22"/>
          <w:u w:val="single"/>
        </w:rPr>
        <w:t xml:space="preserve">patent infringement lawsuits </w:t>
      </w:r>
      <w:r>
        <w:rPr>
          <w:b w:val="0"/>
          <w:i w:val="0"/>
          <w:smallCaps w:val="0"/>
          <w:strike w:val="0"/>
          <w:sz w:val="16"/>
          <w:u w:val="none"/>
        </w:rPr>
        <w:t>filed in U.S. District Courts</w:t>
      </w:r>
      <w:r>
        <w:rPr>
          <w:b/>
          <w:i w:val="0"/>
          <w:smallCaps w:val="0"/>
          <w:strike w:val="0"/>
          <w:sz w:val="22"/>
          <w:u w:val="single"/>
        </w:rPr>
        <w:t xml:space="preserve"> has decreased </w:t>
      </w:r>
      <w:r>
        <w:rPr>
          <w:b w:val="0"/>
          <w:i w:val="0"/>
          <w:smallCaps w:val="0"/>
          <w:strike w:val="0"/>
          <w:sz w:val="16"/>
          <w:u w:val="none"/>
        </w:rPr>
        <w:t>significantly. In 2013, 6,497 cases were filed, but by 2022, this number had dropped to 3,639.</w:t>
      </w:r>
    </w:p>
    <w:p>
      <w:pPr>
        <w:spacing w:after="60"/>
      </w:pPr>
      <w:r>
        <w:rPr>
          <w:b w:val="0"/>
          <w:i w:val="0"/>
          <w:smallCaps w:val="0"/>
          <w:strike w:val="0"/>
          <w:sz w:val="22"/>
          <w:u w:val="single"/>
        </w:rPr>
        <w:t>Median Damages</w:t>
      </w:r>
      <w:r>
        <w:rPr>
          <w:b w:val="0"/>
          <w:i w:val="0"/>
          <w:smallCaps w:val="0"/>
          <w:strike w:val="0"/>
          <w:sz w:val="16"/>
          <w:u w:val="none"/>
        </w:rPr>
        <w:t xml:space="preserve">: Over the last 20 years, median damages in patent cases are approximately $3.7 million. Excluding default judgments, this rises to $5.6 million, peaking at $9 million in 2005 and more recently </w:t>
      </w:r>
      <w:r>
        <w:rPr>
          <w:b w:val="0"/>
          <w:i w:val="0"/>
          <w:smallCaps w:val="0"/>
          <w:strike w:val="0"/>
          <w:sz w:val="22"/>
          <w:u w:val="single"/>
        </w:rPr>
        <w:t>trending downward to $2.4 million.</w:t>
      </w:r>
    </w:p>
    <w:p>
      <w:pPr>
        <w:spacing w:after="60"/>
      </w:pPr>
      <w:r>
        <w:rPr>
          <w:b w:val="0"/>
          <w:i w:val="0"/>
          <w:smallCaps w:val="0"/>
          <w:strike w:val="0"/>
          <w:sz w:val="16"/>
          <w:u w:val="none"/>
        </w:rPr>
        <w:t xml:space="preserve">Permanent </w:t>
      </w:r>
      <w:r>
        <w:rPr>
          <w:b w:val="0"/>
          <w:i w:val="0"/>
          <w:smallCaps w:val="0"/>
          <w:strike w:val="0"/>
          <w:sz w:val="22"/>
          <w:u w:val="single"/>
        </w:rPr>
        <w:t>Injunctions</w:t>
      </w:r>
      <w:r>
        <w:rPr>
          <w:b w:val="0"/>
          <w:i w:val="0"/>
          <w:smallCaps w:val="0"/>
          <w:strike w:val="0"/>
          <w:sz w:val="16"/>
          <w:u w:val="none"/>
        </w:rPr>
        <w:t xml:space="preserve">: Post eBay Inc. v. </w:t>
      </w:r>
      <w:r>
        <w:rPr>
          <w:b w:val="0"/>
          <w:i w:val="0"/>
          <w:smallCaps w:val="0"/>
          <w:strike w:val="0"/>
          <w:sz w:val="16"/>
          <w:u w:val="none"/>
        </w:rPr>
        <w:t>MercExchange</w:t>
      </w:r>
      <w:r>
        <w:rPr>
          <w:b w:val="0"/>
          <w:i w:val="0"/>
          <w:smallCaps w:val="0"/>
          <w:strike w:val="0"/>
          <w:sz w:val="16"/>
          <w:u w:val="none"/>
        </w:rPr>
        <w:t>,</w:t>
      </w:r>
      <w:r>
        <w:rPr>
          <w:b w:val="0"/>
          <w:i w:val="0"/>
          <w:smallCaps w:val="0"/>
          <w:strike w:val="0"/>
          <w:sz w:val="22"/>
          <w:u w:val="single"/>
        </w:rPr>
        <w:t xml:space="preserve"> permanent injunctions granted </w:t>
      </w:r>
      <w:r>
        <w:rPr>
          <w:b/>
          <w:i w:val="0"/>
          <w:smallCaps w:val="0"/>
          <w:strike w:val="0"/>
          <w:sz w:val="22"/>
          <w:u w:val="single"/>
        </w:rPr>
        <w:t>fell</w:t>
      </w:r>
      <w:r>
        <w:rPr>
          <w:b w:val="0"/>
          <w:i w:val="0"/>
          <w:smallCaps w:val="0"/>
          <w:strike w:val="0"/>
          <w:sz w:val="22"/>
          <w:u w:val="single"/>
        </w:rPr>
        <w:t xml:space="preserve"> sharply</w:t>
      </w:r>
      <w:r>
        <w:rPr>
          <w:b w:val="0"/>
          <w:i w:val="0"/>
          <w:smallCaps w:val="0"/>
          <w:strike w:val="0"/>
          <w:sz w:val="16"/>
          <w:u w:val="none"/>
        </w:rPr>
        <w:t>, with a noticeable annual decline from 80 to 36 over the last fifteen years.</w:t>
      </w:r>
    </w:p>
    <w:p>
      <w:pPr>
        <w:spacing w:after="60"/>
      </w:pPr>
      <w:r>
        <w:rPr>
          <w:b w:val="0"/>
          <w:i w:val="0"/>
          <w:smallCaps w:val="0"/>
          <w:strike w:val="0"/>
          <w:sz w:val="16"/>
          <w:u w:val="none"/>
        </w:rPr>
        <w:t>Venue Shifts: The TC Heartland decision reshaped venue preferences, diminishing the Eastern District of Texas's dominance in favor of the Western District of Texas. However, recent changes are also affecting the Western District's status.</w:t>
      </w:r>
    </w:p>
    <w:p>
      <w:pPr>
        <w:spacing w:after="60"/>
      </w:pPr>
      <w:r>
        <w:rPr>
          <w:b w:val="0"/>
          <w:i w:val="0"/>
          <w:smallCaps w:val="0"/>
          <w:strike w:val="0"/>
          <w:sz w:val="16"/>
          <w:u w:val="none"/>
        </w:rPr>
        <w:t>Enhanced Damages: After Halo Electronics, Inc. v. Pulse Electronics, Inc., from 2003 to 2022, 22% of cases saw enhanced damages due to willful infringement, averaging a 2.3x award multiplier.</w:t>
      </w:r>
    </w:p>
    <w:p>
      <w:pPr>
        <w:spacing w:after="60"/>
      </w:pPr>
      <w:r>
        <w:rPr>
          <w:b w:val="0"/>
          <w:i w:val="0"/>
          <w:smallCaps w:val="0"/>
          <w:strike w:val="0"/>
          <w:sz w:val="16"/>
          <w:u w:val="none"/>
        </w:rPr>
        <w:t xml:space="preserve">"The </w:t>
      </w:r>
      <w:r>
        <w:rPr>
          <w:b w:val="0"/>
          <w:i w:val="0"/>
          <w:smallCaps w:val="0"/>
          <w:strike w:val="0"/>
          <w:sz w:val="22"/>
          <w:u w:val="single"/>
        </w:rPr>
        <w:t>research effort behind the patent litigation study was substantial, aimed at going beyond academic analysis to provide a strategic perspective on intellectual property trends,</w:t>
      </w:r>
      <w:r>
        <w:rPr>
          <w:b w:val="0"/>
          <w:i w:val="0"/>
          <w:smallCaps w:val="0"/>
          <w:strike w:val="0"/>
          <w:sz w:val="16"/>
          <w:u w:val="none"/>
        </w:rPr>
        <w:t>" said William Scally, the lead author of the study and the National Leader of Litigation Advisory Services at Marcum LLP. "The findings of this study offer insight into the trends and shifts that may influence how businesses approach patent litigation and consider intellectual property management strategy moving forward."</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