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Unclear copyright ownership guarantees extensive litigation over licensing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Hansen and Brooke 23</w:t>
      </w:r>
      <w:r>
        <w:rPr>
          <w:b w:val="0"/>
          <w:i w:val="0"/>
          <w:smallCaps w:val="0"/>
          <w:strike w:val="0"/>
          <w:u w:val="none"/>
        </w:rPr>
        <w:t xml:space="preserve"> (David Hansen, Executive Director of the Authors Alliance. Rachel Brooke, Senior Staff Attorney of the Authors Alliance. “RE: Policy Study on Artificial Intelligence, Docket Number 2023-6” 10/30/2023. Accessed 5/24/2024. https://www.regulations.gov/comment/COLC-2023-0006-8976)wtk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Third, </w:t>
      </w:r>
      <w:r>
        <w:rPr>
          <w:b w:val="0"/>
          <w:i w:val="0"/>
          <w:smallCaps w:val="0"/>
          <w:strike w:val="0"/>
          <w:sz w:val="22"/>
          <w:u w:val="single"/>
        </w:rPr>
        <w:t>even for commercially valuable works that are not orphaned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copyright ownership is far from clear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many works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making remuneration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at scale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destined for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protracted litigation</w:t>
      </w:r>
      <w:r>
        <w:rPr>
          <w:b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While existing</w:t>
      </w:r>
      <w:r>
        <w:rPr>
          <w:b w:val="0"/>
          <w:i w:val="0"/>
          <w:smallCaps w:val="0"/>
          <w:strike w:val="0"/>
          <w:u w:val="none"/>
        </w:rPr>
        <w:t xml:space="preserve"> compulsory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licensing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regimes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focus on areas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practice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where licensing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transfer of rights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has largely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been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standardized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most other areas of copyright do not have such clarity</w:t>
      </w:r>
      <w:r>
        <w:rPr>
          <w:b w:val="0"/>
          <w:i w:val="0"/>
          <w:smallCaps w:val="0"/>
          <w:strike w:val="0"/>
          <w:u w:val="none"/>
        </w:rPr>
        <w:t xml:space="preserve">. For example,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even with commercially published books, publication contrac</w:t>
      </w:r>
      <w:r>
        <w:rPr>
          <w:b w:val="0"/>
          <w:i w:val="0"/>
          <w:smallCaps w:val="0"/>
          <w:strike w:val="0"/>
          <w:sz w:val="22"/>
          <w:u w:val="single"/>
        </w:rPr>
        <w:t>ts</w:t>
      </w:r>
      <w:r>
        <w:rPr>
          <w:b w:val="0"/>
          <w:i w:val="0"/>
          <w:smallCaps w:val="0"/>
          <w:strike w:val="0"/>
          <w:u w:val="none"/>
        </w:rPr>
        <w:t xml:space="preserve">, i.e., private agreements between authors and publishers,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take a wide variety of approaches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allocating ownership rights across geographic locations, formats, and time.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 xml:space="preserve">Whether, for example, using works as training materials for AI models would constitute an “electronic work” under those licenses would be an important question.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This issue has been litigated and remains unresolved and largely unresolvable without close examination of each contract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u w:val="none"/>
        </w:rPr>
        <w:t>57</w:t>
      </w:r>
    </w:p>
    <w:p>
      <w:pPr>
        <w:pStyle w:val="Caption"/>
      </w:pPr>
      <w:r>
        <w:t>Source: Court Clog DA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