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</w:t>
      </w:r>
      <w:r>
        <w:rPr>
          <w:b/>
          <w:i w:val="0"/>
          <w:smallCaps w:val="0"/>
          <w:strike w:val="0"/>
          <w:sz w:val="26"/>
          <w:u w:val="single"/>
        </w:rPr>
        <w:t>actual knowledge</w:t>
      </w:r>
      <w:r>
        <w:rPr>
          <w:b/>
          <w:i w:val="0"/>
          <w:smallCaps w:val="0"/>
          <w:strike w:val="0"/>
          <w:sz w:val="26"/>
          <w:u w:val="none"/>
        </w:rPr>
        <w:t xml:space="preserve"> requirement is the only shield against litigation – but the plan dilutes it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Patricia E. </w:t>
      </w:r>
      <w:r>
        <w:rPr>
          <w:b/>
          <w:i w:val="0"/>
          <w:smallCaps w:val="0"/>
          <w:strike w:val="0"/>
          <w:sz w:val="26"/>
          <w:u w:val="none"/>
        </w:rPr>
        <w:t>Campbell,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- Law School Professor and Director of the Intellectual Property Law Program at the University of Maryland Carey School of Law “Debugging the Trademark Laws: The Lanham Act and Counterfeit Microelectronics,” 31 TEX. INTELL. PROP. L.J. 211 (2023). Hein Online. Accessed via University of Michigan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Moreover,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parts were purchased on e-commerce platforms, the online marketplace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service provider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typically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immune from suit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under the rule created in Tiffany</w:t>
      </w:r>
      <w:r>
        <w:rPr>
          <w:b w:val="0"/>
          <w:i w:val="0"/>
          <w:smallCaps w:val="0"/>
          <w:strike w:val="0"/>
          <w:u w:val="none"/>
        </w:rPr>
        <w:t xml:space="preserve"> (NJ) Inc. </w:t>
      </w:r>
      <w:r>
        <w:rPr>
          <w:b w:val="0"/>
          <w:i w:val="0"/>
          <w:smallCaps w:val="0"/>
          <w:strike w:val="0"/>
          <w:sz w:val="22"/>
          <w:u w:val="single"/>
        </w:rPr>
        <w:t>v. eBay</w:t>
      </w:r>
      <w:r>
        <w:rPr>
          <w:b w:val="0"/>
          <w:i w:val="0"/>
          <w:smallCaps w:val="0"/>
          <w:strike w:val="0"/>
          <w:u w:val="none"/>
        </w:rPr>
        <w:t xml:space="preserve"> Inc.335 There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court held that for contributory trademark infringement liability to exist, a service provider must have more than a general knowledge </w:t>
      </w:r>
      <w:r>
        <w:rPr>
          <w:b w:val="0"/>
          <w:i w:val="0"/>
          <w:smallCaps w:val="0"/>
          <w:strike w:val="0"/>
          <w:sz w:val="22"/>
          <w:u w:val="single"/>
        </w:rPr>
        <w:t>or reason to know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its service is being used to sell counterfeit goods</w:t>
      </w:r>
      <w:r>
        <w:rPr>
          <w:b w:val="0"/>
          <w:i w:val="0"/>
          <w:smallCaps w:val="0"/>
          <w:strike w:val="0"/>
          <w:u w:val="none"/>
        </w:rPr>
        <w:t xml:space="preserve">. "Some contemporary knowledge of which particular listings are infringing or will infringe in the future is necessary."336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requirement of actual knowledge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created a safe harbor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e-commerce platforms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