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safe harbor from liability is too weak and </w:t>
      </w:r>
      <w:r>
        <w:rPr>
          <w:b/>
          <w:i w:val="0"/>
          <w:smallCaps w:val="0"/>
          <w:strike w:val="0"/>
          <w:sz w:val="26"/>
          <w:u w:val="single"/>
        </w:rPr>
        <w:t>invites litigations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Andrew Ligon </w:t>
      </w:r>
      <w:r>
        <w:rPr>
          <w:b/>
          <w:i w:val="0"/>
          <w:smallCaps w:val="0"/>
          <w:strike w:val="0"/>
          <w:sz w:val="26"/>
          <w:u w:val="none"/>
        </w:rPr>
        <w:t>Fant,</w:t>
      </w:r>
      <w:r>
        <w:rPr>
          <w:b w:val="0"/>
          <w:i w:val="0"/>
          <w:smallCaps w:val="0"/>
          <w:strike w:val="0"/>
          <w:u w:val="none"/>
        </w:rPr>
        <w:t xml:space="preserve"> 20</w:t>
      </w:r>
      <w:r>
        <w:rPr>
          <w:b/>
          <w:i w:val="0"/>
          <w:smallCaps w:val="0"/>
          <w:strike w:val="0"/>
          <w:sz w:val="26"/>
          <w:u w:val="none"/>
        </w:rPr>
        <w:t>22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-  J.D.</w:t>
      </w:r>
      <w:r>
        <w:rPr>
          <w:b w:val="0"/>
          <w:i w:val="0"/>
          <w:smallCaps w:val="0"/>
          <w:strike w:val="0"/>
          <w:u w:val="none"/>
        </w:rPr>
        <w:t xml:space="preserve"> Candidate, 2023, University of Georgia School of Law. “Reconsidering the Willful Blindness Doctrine in Contributory Trademark Infringement,” 29 J. INTELL. PROP. L. 318 (2022). Available at: </w:t>
      </w:r>
      <w:r>
        <w:rPr>
          <w:b w:val="0"/>
          <w:i w:val="0"/>
          <w:smallCaps w:val="0"/>
          <w:strike w:val="0"/>
          <w:u w:val="none"/>
        </w:rPr>
        <w:t>https://digitalcommons.law.uga.edu/jipl/vol29/iss2/3  /</w:t>
      </w:r>
      <w:r>
        <w:rPr>
          <w:b w:val="0"/>
          <w:i w:val="0"/>
          <w:smallCaps w:val="0"/>
          <w:strike w:val="0"/>
          <w:u w:val="none"/>
        </w:rPr>
        <w:t>/DH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most problematic part of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SHOP SAFE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Act is its requirement that online marketplaces implement a program to “expeditiously” take down counterfeit listings</w:t>
      </w:r>
      <w:r>
        <w:rPr>
          <w:b w:val="0"/>
          <w:i w:val="0"/>
          <w:smallCaps w:val="0"/>
          <w:strike w:val="0"/>
          <w:u w:val="none"/>
        </w:rPr>
        <w:t xml:space="preserve"> the platform is reasonably aware of.152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Act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adopts a very broad view—similar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“reason to know” standard</w:t>
      </w:r>
      <w:r>
        <w:rPr>
          <w:b w:val="0"/>
          <w:i w:val="0"/>
          <w:smallCaps w:val="0"/>
          <w:strike w:val="0"/>
          <w:u w:val="none"/>
        </w:rPr>
        <w:t xml:space="preserve"> that the Tiffany court rejected153—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 when an online marketplace should be reasonably aware of the use of a counterfeit mark</w:t>
      </w:r>
      <w:r>
        <w:rPr>
          <w:b w:val="0"/>
          <w:i w:val="0"/>
          <w:smallCaps w:val="0"/>
          <w:strike w:val="0"/>
          <w:u w:val="none"/>
        </w:rPr>
        <w:t xml:space="preserve">.154 If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 online marketplace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has a program but</w:t>
      </w:r>
      <w:r>
        <w:rPr>
          <w:b w:val="0"/>
          <w:i w:val="0"/>
          <w:smallCaps w:val="0"/>
          <w:strike w:val="0"/>
          <w:u w:val="none"/>
        </w:rPr>
        <w:t xml:space="preserve"> perhaps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does not take down counterfeit listings “expeditiously,” it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may be exposed to liability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despite good faith efforts</w:t>
      </w:r>
      <w:r>
        <w:rPr>
          <w:b w:val="0"/>
          <w:i w:val="0"/>
          <w:smallCaps w:val="0"/>
          <w:strike w:val="0"/>
          <w:u w:val="none"/>
        </w:rPr>
        <w:t xml:space="preserve">. This could be a reasonable outcome if the marketplace could otherwise avail itself of </w:t>
      </w:r>
      <w:r>
        <w:rPr>
          <w:b w:val="0"/>
          <w:i w:val="0"/>
          <w:smallCaps w:val="0"/>
          <w:strike w:val="0"/>
          <w:u w:val="none"/>
        </w:rPr>
        <w:t>a safe haven</w:t>
      </w:r>
      <w:r>
        <w:rPr>
          <w:b w:val="0"/>
          <w:i w:val="0"/>
          <w:smallCaps w:val="0"/>
          <w:strike w:val="0"/>
          <w:u w:val="none"/>
        </w:rPr>
        <w:t xml:space="preserve"> through reasonable efforts, but the requirement for such a program is actually an eligibility requirement for the safe haven.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Act purports to create a safe haven, but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numerous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exceptions</w:t>
      </w:r>
      <w:r>
        <w:rPr>
          <w:b w:val="0"/>
          <w:i w:val="0"/>
          <w:smallCaps w:val="0"/>
          <w:strike w:val="0"/>
          <w:u w:val="none"/>
        </w:rPr>
        <w:t xml:space="preserve"> to the rules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reliance on reasonableness muddy the waters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invite litigation</w:t>
      </w:r>
      <w:r>
        <w:rPr>
          <w:b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155 One such exception is found in the Act’s definition of “repeated use of a counterfeit mark”: “[u]se of a counterfeit mark by a third-party seller in 3 separate listings within 1 year shall be considered repeated use, except when reasonable mitigating circumstances exist.”156 </w:t>
      </w:r>
      <w:r>
        <w:rPr>
          <w:b w:val="0"/>
          <w:i w:val="0"/>
          <w:smallCaps w:val="0"/>
          <w:strike w:val="0"/>
          <w:sz w:val="22"/>
          <w:u w:val="single"/>
        </w:rPr>
        <w:t>What qualifies as a reasonable mitigating circumstance is anyone’s guess</w:t>
      </w:r>
      <w:r>
        <w:rPr>
          <w:b w:val="0"/>
          <w:i w:val="0"/>
          <w:smallCaps w:val="0"/>
          <w:strike w:val="0"/>
          <w:u w:val="none"/>
        </w:rPr>
        <w:t xml:space="preserve">. 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