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Climate litigation solves—both mitigation and adaption measures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Maria L. </w:t>
      </w:r>
      <w:r>
        <w:rPr>
          <w:b/>
          <w:i w:val="0"/>
          <w:smallCaps w:val="0"/>
          <w:strike w:val="0"/>
          <w:sz w:val="26"/>
          <w:u w:val="none"/>
        </w:rPr>
        <w:t>Banda 17</w:t>
      </w:r>
      <w:r>
        <w:rPr>
          <w:b w:val="0"/>
          <w:i w:val="0"/>
          <w:smallCaps w:val="0"/>
          <w:strike w:val="0"/>
          <w:u w:val="none"/>
        </w:rPr>
        <w:t xml:space="preserve">, international lawyer, Graham Fellow at the University of Toronto Faculty of Law, a member of the World Commission on Environmental Law, and a Visiting Attorney at the Environmental Law Institute, and Scott Fulton, President of the Environmental Law Institute and a member of the United Nations Environment </w:t>
      </w:r>
      <w:r>
        <w:rPr>
          <w:b w:val="0"/>
          <w:i w:val="0"/>
          <w:smallCaps w:val="0"/>
          <w:strike w:val="0"/>
          <w:u w:val="none"/>
        </w:rPr>
        <w:t>Programme's</w:t>
      </w:r>
      <w:r>
        <w:rPr>
          <w:b w:val="0"/>
          <w:i w:val="0"/>
          <w:smallCaps w:val="0"/>
          <w:strike w:val="0"/>
          <w:u w:val="none"/>
        </w:rPr>
        <w:t xml:space="preserve"> International Advisory Council on Environmental Justice, former U.S. Environmental Protection Agency General Counsel, Environmental Appeals Judge, environmental prosecutor, and environmental diplomat, “Litigating Climate Change in National Courts: Recent Trends and Developments in Global Climate Law”, </w:t>
      </w:r>
      <w:r>
        <w:rPr>
          <w:b w:val="0"/>
          <w:i/>
          <w:smallCaps w:val="0"/>
          <w:strike w:val="0"/>
          <w:u w:val="none"/>
        </w:rPr>
        <w:t>Environmental Law Reporter News &amp; Analysis, 47(2), 10121-10134</w:t>
      </w:r>
      <w:r>
        <w:rPr>
          <w:b w:val="0"/>
          <w:i w:val="0"/>
          <w:smallCaps w:val="0"/>
          <w:strike w:val="0"/>
          <w:u w:val="none"/>
        </w:rPr>
        <w:t xml:space="preserve">, HeinOnline, 2017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shown below, </w:t>
      </w:r>
      <w:r>
        <w:rPr>
          <w:b w:val="0"/>
          <w:i w:val="0"/>
          <w:smallCaps w:val="0"/>
          <w:strike w:val="0"/>
          <w:sz w:val="22"/>
          <w:u w:val="single"/>
        </w:rPr>
        <w:t>climate litigation in national courts has gone beyond the traditional confines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environmental litigation-such as </w:t>
      </w:r>
      <w:r>
        <w:rPr>
          <w:b w:val="0"/>
          <w:i w:val="0"/>
          <w:smallCaps w:val="0"/>
          <w:strike w:val="0"/>
          <w:sz w:val="22"/>
          <w:u w:val="single"/>
        </w:rPr>
        <w:t>air and water pollution, or environmental impact assessments (EJAs)-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to include a variety of disputes addressing climate change issues both directly and indirectly: </w:t>
      </w:r>
      <w:r>
        <w:rPr>
          <w:b w:val="0"/>
          <w:i w:val="0"/>
          <w:smallCaps w:val="0"/>
          <w:strike w:val="0"/>
          <w:sz w:val="22"/>
          <w:u w:val="single"/>
        </w:rPr>
        <w:t>lawsuits over constitutional rights to life, the rights of future generations, climate treaty commitments, and climate-resilient zoning regulations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disputes can broadly be categorized as (a) </w:t>
      </w:r>
      <w:r>
        <w:rPr>
          <w:b w:val="0"/>
          <w:i w:val="0"/>
          <w:smallCaps w:val="0"/>
          <w:strike w:val="0"/>
          <w:sz w:val="22"/>
          <w:u w:val="single"/>
        </w:rPr>
        <w:t>litigation involving climate mitigation measures-efforts designed to reduce or prevent emissions of greenhouse gases (GHGs), and (b) litigation involving climate adaptation measures-efforts designed to build resilience and reduce the negative impacts of climate change on communities and ecosystems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