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Climate Litigation is new and rising—i</w:t>
      </w:r>
      <w:r>
        <w:rPr>
          <w:b/>
          <w:i w:val="0"/>
          <w:smallCaps w:val="0"/>
          <w:strike w:val="0"/>
          <w:sz w:val="26"/>
          <w:u w:val="none"/>
        </w:rPr>
        <w:t xml:space="preserve">t </w:t>
      </w:r>
      <w:r>
        <w:rPr>
          <w:b/>
          <w:i w:val="0"/>
          <w:smallCaps w:val="0"/>
          <w:strike w:val="0"/>
          <w:sz w:val="26"/>
          <w:u w:val="single"/>
        </w:rPr>
        <w:t>requires</w:t>
      </w:r>
      <w:r>
        <w:rPr>
          <w:b/>
          <w:i w:val="0"/>
          <w:smallCaps w:val="0"/>
          <w:strike w:val="0"/>
          <w:sz w:val="26"/>
          <w:u w:val="none"/>
        </w:rPr>
        <w:t xml:space="preserve"> continued </w:t>
      </w:r>
      <w:r>
        <w:rPr>
          <w:b/>
          <w:i w:val="0"/>
          <w:smallCaps w:val="0"/>
          <w:strike w:val="0"/>
          <w:sz w:val="26"/>
          <w:u w:val="single"/>
        </w:rPr>
        <w:t>efficiency</w:t>
      </w:r>
      <w:r>
        <w:rPr>
          <w:b/>
          <w:i w:val="0"/>
          <w:smallCaps w:val="0"/>
          <w:strike w:val="0"/>
          <w:sz w:val="26"/>
          <w:u w:val="none"/>
        </w:rPr>
        <w:t xml:space="preserve"> to sustain </w:t>
      </w:r>
      <w:r>
        <w:rPr>
          <w:b/>
          <w:i w:val="0"/>
          <w:smallCaps w:val="0"/>
          <w:strike w:val="0"/>
          <w:sz w:val="26"/>
          <w:u w:val="single"/>
        </w:rPr>
        <w:t xml:space="preserve">accountability </w:t>
      </w:r>
      <w:r>
        <w:rPr>
          <w:b/>
          <w:i w:val="0"/>
          <w:smallCaps w:val="0"/>
          <w:strike w:val="0"/>
          <w:sz w:val="26"/>
          <w:u w:val="none"/>
        </w:rPr>
        <w:t>and</w:t>
      </w:r>
      <w:r>
        <w:rPr>
          <w:b/>
          <w:i w:val="0"/>
          <w:smallCaps w:val="0"/>
          <w:strike w:val="0"/>
          <w:sz w:val="26"/>
          <w:u w:val="single"/>
        </w:rPr>
        <w:t xml:space="preserve"> promote resiliency </w:t>
      </w:r>
    </w:p>
    <w:p>
      <w:pPr>
        <w:spacing w:after="80"/>
      </w:pPr>
      <w:r>
        <w:rPr>
          <w:b w:val="0"/>
          <w:i w:val="0"/>
          <w:smallCaps w:val="0"/>
          <w:strike w:val="0"/>
          <w:u w:val="none"/>
        </w:rPr>
        <w:t xml:space="preserve">Maria L. </w:t>
      </w:r>
      <w:r>
        <w:rPr>
          <w:b/>
          <w:i w:val="0"/>
          <w:smallCaps w:val="0"/>
          <w:strike w:val="0"/>
          <w:sz w:val="26"/>
          <w:u w:val="none"/>
        </w:rPr>
        <w:t>Banda 17</w:t>
      </w:r>
      <w:r>
        <w:rPr>
          <w:b w:val="0"/>
          <w:i w:val="0"/>
          <w:smallCaps w:val="0"/>
          <w:strike w:val="0"/>
          <w:u w:val="none"/>
        </w:rPr>
        <w:t xml:space="preserve">, international lawyer, Graham Fellow at the University of Toronto Faculty of Law, a member of the World Commission on Environmental Law, and a Visiting Attorney at the Environmental Law Institute, and Scott Fulton, President of the Environmental Law Institute and a member of the United Nations Environment </w:t>
      </w:r>
      <w:r>
        <w:rPr>
          <w:b w:val="0"/>
          <w:i w:val="0"/>
          <w:smallCaps w:val="0"/>
          <w:strike w:val="0"/>
          <w:u w:val="none"/>
        </w:rPr>
        <w:t>Programme's</w:t>
      </w:r>
      <w:r>
        <w:rPr>
          <w:b w:val="0"/>
          <w:i w:val="0"/>
          <w:smallCaps w:val="0"/>
          <w:strike w:val="0"/>
          <w:u w:val="none"/>
        </w:rPr>
        <w:t xml:space="preserve"> International Advisory Council on Environmental Justice, former U.S. Environmental Protection Agency General Counsel, Environmental Appeals Judge, environmental prosecutor, and environmental diplomat, “Litigating Climate Change in National Courts: Recent Trends and Developments in Global Climate Law”, </w:t>
      </w:r>
      <w:r>
        <w:rPr>
          <w:b w:val="0"/>
          <w:i/>
          <w:smallCaps w:val="0"/>
          <w:strike w:val="0"/>
          <w:u w:val="none"/>
        </w:rPr>
        <w:t>Environmental Law Reporter News &amp; Analysis, 47(2), 10121-10134</w:t>
      </w:r>
      <w:r>
        <w:rPr>
          <w:b w:val="0"/>
          <w:i w:val="0"/>
          <w:smallCaps w:val="0"/>
          <w:strike w:val="0"/>
          <w:u w:val="none"/>
        </w:rPr>
        <w:t xml:space="preserve">, HeinOnline, 2017 </w:t>
      </w:r>
    </w:p>
    <w:p>
      <w:pPr>
        <w:spacing w:after="60"/>
      </w:pPr>
      <w:r>
        <w:rPr>
          <w:b w:val="0"/>
          <w:i w:val="0"/>
          <w:smallCaps w:val="0"/>
          <w:strike w:val="0"/>
          <w:sz w:val="16"/>
          <w:u w:val="none"/>
        </w:rPr>
        <w:t xml:space="preserve">First, national </w:t>
      </w:r>
      <w:r>
        <w:rPr>
          <w:b w:val="0"/>
          <w:i w:val="0"/>
          <w:smallCaps w:val="0"/>
          <w:strike w:val="0"/>
          <w:sz w:val="22"/>
          <w:u w:val="single"/>
        </w:rPr>
        <w:t xml:space="preserve">judges are by and large successfully </w:t>
      </w:r>
      <w:r>
        <w:rPr>
          <w:b/>
          <w:i w:val="0"/>
          <w:smallCaps w:val="0"/>
          <w:strike w:val="0"/>
          <w:sz w:val="22"/>
          <w:u w:val="single"/>
        </w:rPr>
        <w:t>adapting</w:t>
      </w:r>
      <w:r>
        <w:rPr>
          <w:b w:val="0"/>
          <w:i w:val="0"/>
          <w:smallCaps w:val="0"/>
          <w:strike w:val="0"/>
          <w:sz w:val="22"/>
          <w:u w:val="single"/>
        </w:rPr>
        <w:t xml:space="preserve"> their traditional role of administration of justice to the new challenges posed by climate change litigation</w:t>
      </w:r>
      <w:r>
        <w:rPr>
          <w:b w:val="0"/>
          <w:i w:val="0"/>
          <w:smallCaps w:val="0"/>
          <w:strike w:val="0"/>
          <w:sz w:val="16"/>
          <w:u w:val="none"/>
        </w:rPr>
        <w:t xml:space="preserve">. Presented with </w:t>
      </w:r>
      <w:r>
        <w:rPr>
          <w:b w:val="0"/>
          <w:i w:val="0"/>
          <w:smallCaps w:val="0"/>
          <w:strike w:val="0"/>
          <w:sz w:val="16"/>
          <w:u w:val="none"/>
        </w:rPr>
        <w:t>a number of</w:t>
      </w:r>
      <w:r>
        <w:rPr>
          <w:b w:val="0"/>
          <w:i w:val="0"/>
          <w:smallCaps w:val="0"/>
          <w:strike w:val="0"/>
          <w:sz w:val="16"/>
          <w:u w:val="none"/>
        </w:rPr>
        <w:t xml:space="preserve"> novel and urgent legal questions, they have increasingly held their own governments accountable under national constitutional principles, implementing legislation, or common-law doctrines. Since 2013, as one court noted, courts have increasingly "recognized the role of the third branch of government in protecting the earth's resources that it holds in trust."' 1 6 1 Thus, though </w:t>
      </w:r>
      <w:r>
        <w:rPr>
          <w:b w:val="0"/>
          <w:i w:val="0"/>
          <w:smallCaps w:val="0"/>
          <w:strike w:val="0"/>
          <w:sz w:val="22"/>
          <w:u w:val="single"/>
        </w:rPr>
        <w:t xml:space="preserve">climate litigation will continue facing </w:t>
      </w:r>
      <w:r>
        <w:rPr>
          <w:b/>
          <w:i w:val="0"/>
          <w:smallCaps w:val="0"/>
          <w:strike w:val="0"/>
          <w:sz w:val="22"/>
          <w:u w:val="single"/>
        </w:rPr>
        <w:t>different</w:t>
      </w:r>
      <w:r>
        <w:rPr>
          <w:b w:val="0"/>
          <w:i w:val="0"/>
          <w:smallCaps w:val="0"/>
          <w:strike w:val="0"/>
          <w:sz w:val="22"/>
          <w:u w:val="single"/>
        </w:rPr>
        <w:t xml:space="preserve"> substantive and </w:t>
      </w:r>
      <w:r>
        <w:rPr>
          <w:b/>
          <w:i w:val="0"/>
          <w:smallCaps w:val="0"/>
          <w:strike w:val="0"/>
          <w:sz w:val="22"/>
          <w:u w:val="single"/>
        </w:rPr>
        <w:t>procedural</w:t>
      </w:r>
      <w:r>
        <w:rPr>
          <w:b w:val="0"/>
          <w:i w:val="0"/>
          <w:smallCaps w:val="0"/>
          <w:strike w:val="0"/>
          <w:sz w:val="22"/>
          <w:u w:val="single"/>
        </w:rPr>
        <w:t xml:space="preserve"> </w:t>
      </w:r>
      <w:r>
        <w:rPr>
          <w:b/>
          <w:i w:val="0"/>
          <w:smallCaps w:val="0"/>
          <w:strike w:val="0"/>
          <w:sz w:val="22"/>
          <w:u w:val="single"/>
        </w:rPr>
        <w:t>hurdles</w:t>
      </w:r>
      <w:r>
        <w:rPr>
          <w:b w:val="0"/>
          <w:i w:val="0"/>
          <w:smallCaps w:val="0"/>
          <w:strike w:val="0"/>
          <w:sz w:val="22"/>
          <w:u w:val="single"/>
        </w:rPr>
        <w:t xml:space="preserve"> in different jurisdictions</w:t>
      </w:r>
      <w:r>
        <w:rPr>
          <w:b w:val="0"/>
          <w:i w:val="0"/>
          <w:smallCaps w:val="0"/>
          <w:strike w:val="0"/>
          <w:sz w:val="16"/>
          <w:u w:val="none"/>
        </w:rPr>
        <w:t>—</w:t>
      </w:r>
      <w:r>
        <w:rPr>
          <w:b w:val="0"/>
          <w:i w:val="0"/>
          <w:smallCaps w:val="0"/>
          <w:strike w:val="0"/>
          <w:sz w:val="16"/>
          <w:u w:val="none"/>
        </w:rPr>
        <w:t>from standing to the political question doctrine</w:t>
      </w:r>
      <w:r>
        <w:rPr>
          <w:b w:val="0"/>
          <w:i w:val="0"/>
          <w:smallCaps w:val="0"/>
          <w:strike w:val="0"/>
          <w:sz w:val="16"/>
          <w:u w:val="none"/>
        </w:rPr>
        <w:t>—</w:t>
      </w:r>
      <w:r>
        <w:rPr>
          <w:b w:val="0"/>
          <w:i w:val="0"/>
          <w:smallCaps w:val="0"/>
          <w:strike w:val="0"/>
          <w:sz w:val="22"/>
          <w:u w:val="single"/>
        </w:rPr>
        <w:t>courts</w:t>
      </w:r>
      <w:r>
        <w:rPr>
          <w:b w:val="0"/>
          <w:i w:val="0"/>
          <w:smallCaps w:val="0"/>
          <w:strike w:val="0"/>
          <w:sz w:val="16"/>
          <w:u w:val="none"/>
        </w:rPr>
        <w:t xml:space="preserve"> have </w:t>
      </w:r>
      <w:r>
        <w:rPr>
          <w:b w:val="0"/>
          <w:i w:val="0"/>
          <w:smallCaps w:val="0"/>
          <w:strike w:val="0"/>
          <w:sz w:val="22"/>
          <w:u w:val="single"/>
        </w:rPr>
        <w:t>demonstrated</w:t>
      </w:r>
      <w:r>
        <w:rPr>
          <w:b w:val="0"/>
          <w:i w:val="0"/>
          <w:smallCaps w:val="0"/>
          <w:strike w:val="0"/>
          <w:sz w:val="16"/>
          <w:u w:val="none"/>
        </w:rPr>
        <w:t xml:space="preserve"> that, generally, </w:t>
      </w:r>
      <w:r>
        <w:rPr>
          <w:b w:val="0"/>
          <w:i w:val="0"/>
          <w:smallCaps w:val="0"/>
          <w:strike w:val="0"/>
          <w:sz w:val="22"/>
          <w:u w:val="single"/>
        </w:rPr>
        <w:t xml:space="preserve">they are rising to the task </w:t>
      </w:r>
      <w:r>
        <w:rPr>
          <w:b w:val="0"/>
          <w:i w:val="0"/>
          <w:smallCaps w:val="0"/>
          <w:strike w:val="0"/>
          <w:sz w:val="16"/>
          <w:u w:val="none"/>
        </w:rPr>
        <w:t xml:space="preserve">and using the tools at their disposal for administration of justice in this emerging area. </w:t>
      </w:r>
    </w:p>
    <w:p>
      <w:pPr>
        <w:spacing w:after="60"/>
      </w:pPr>
      <w:r>
        <w:rPr>
          <w:b w:val="0"/>
          <w:i w:val="0"/>
          <w:smallCaps w:val="0"/>
          <w:strike w:val="0"/>
          <w:sz w:val="16"/>
          <w:u w:val="none"/>
        </w:rPr>
        <w:t xml:space="preserve">This trend can be greatly enabled by making the emerging cross-jurisdictional jurisprudence in this area more readily accessible to judges around the world. Likewise, </w:t>
      </w:r>
      <w:r>
        <w:rPr>
          <w:b w:val="0"/>
          <w:i w:val="0"/>
          <w:smallCaps w:val="0"/>
          <w:strike w:val="0"/>
          <w:sz w:val="22"/>
          <w:u w:val="single"/>
        </w:rPr>
        <w:t xml:space="preserve">climate literacy training aimed at building judicial awareness of climate science, climate impacts, and climate resilience imperatives can help equip judges to perform their traditional role of administering justice </w:t>
      </w:r>
      <w:r>
        <w:rPr>
          <w:b w:val="0"/>
          <w:i w:val="0"/>
          <w:smallCaps w:val="0"/>
          <w:strike w:val="0"/>
          <w:sz w:val="16"/>
          <w:u w:val="none"/>
        </w:rPr>
        <w:t>in the context of this global phenomenon</w:t>
      </w:r>
      <w:r>
        <w:rPr>
          <w:b w:val="0"/>
          <w:i w:val="0"/>
          <w:smallCaps w:val="0"/>
          <w:strike w:val="0"/>
          <w:sz w:val="22"/>
          <w:u w:val="single"/>
        </w:rPr>
        <w:t>.</w:t>
      </w:r>
    </w:p>
    <w:p>
      <w:pPr>
        <w:spacing w:after="60"/>
      </w:pPr>
      <w:r>
        <w:rPr>
          <w:b w:val="0"/>
          <w:i w:val="0"/>
          <w:smallCaps w:val="0"/>
          <w:strike w:val="0"/>
          <w:sz w:val="16"/>
          <w:u w:val="none"/>
        </w:rPr>
        <w:t xml:space="preserve">Thus far, constitutionally protected environmental rights have represented the most straightforward vehicle for climate litigants in some jurisdictions (e.g., Norway), although litigation based on broader rights (e.g., to enforce fundamental constitutional rights to life and property) has also provided a viable strategy in other jurisdictions (e.g., Pakistan). In still other jurisdictions, </w:t>
      </w:r>
      <w:r>
        <w:rPr>
          <w:b w:val="0"/>
          <w:i w:val="0"/>
          <w:smallCaps w:val="0"/>
          <w:strike w:val="0"/>
          <w:sz w:val="22"/>
          <w:u w:val="single"/>
        </w:rPr>
        <w:t xml:space="preserve">courts have relied on the language of environmental statutes and common-law doctrines to mandate agency rulemaking or more effective implementation of climate policies </w:t>
      </w:r>
      <w:r>
        <w:rPr>
          <w:b w:val="0"/>
          <w:i w:val="0"/>
          <w:smallCaps w:val="0"/>
          <w:strike w:val="0"/>
          <w:sz w:val="16"/>
          <w:u w:val="none"/>
        </w:rPr>
        <w:t xml:space="preserve">(e.g., Foster). </w:t>
      </w:r>
      <w:r>
        <w:rPr>
          <w:b w:val="0"/>
          <w:i w:val="0"/>
          <w:smallCaps w:val="0"/>
          <w:strike w:val="0"/>
          <w:sz w:val="22"/>
          <w:u w:val="single"/>
        </w:rPr>
        <w:t xml:space="preserve">A number of lawsuits may not </w:t>
      </w:r>
      <w:r>
        <w:rPr>
          <w:b w:val="0"/>
          <w:i w:val="0"/>
          <w:smallCaps w:val="0"/>
          <w:strike w:val="0"/>
          <w:sz w:val="16"/>
          <w:u w:val="none"/>
        </w:rPr>
        <w:t xml:space="preserve">even </w:t>
      </w:r>
      <w:r>
        <w:rPr>
          <w:b w:val="0"/>
          <w:i w:val="0"/>
          <w:smallCaps w:val="0"/>
          <w:strike w:val="0"/>
          <w:sz w:val="22"/>
          <w:u w:val="single"/>
        </w:rPr>
        <w:t xml:space="preserve">present climate change as the core </w:t>
      </w:r>
      <w:r>
        <w:rPr>
          <w:b w:val="0"/>
          <w:i w:val="0"/>
          <w:smallCaps w:val="0"/>
          <w:strike w:val="0"/>
          <w:sz w:val="22"/>
          <w:u w:val="single"/>
        </w:rPr>
        <w:t>issue, but</w:t>
      </w:r>
      <w:r>
        <w:rPr>
          <w:b w:val="0"/>
          <w:i w:val="0"/>
          <w:smallCaps w:val="0"/>
          <w:strike w:val="0"/>
          <w:sz w:val="22"/>
          <w:u w:val="single"/>
        </w:rPr>
        <w:t xml:space="preserve"> may have an indirect impact on climate mitigation or adaptation</w:t>
      </w:r>
      <w:r>
        <w:rPr>
          <w:b w:val="0"/>
          <w:i w:val="0"/>
          <w:smallCaps w:val="0"/>
          <w:strike w:val="0"/>
          <w:sz w:val="16"/>
          <w:u w:val="none"/>
        </w:rPr>
        <w:t xml:space="preserve"> efforts by 161. Foster et al. v. Washington </w:t>
      </w:r>
      <w:r>
        <w:rPr>
          <w:b w:val="0"/>
          <w:i w:val="0"/>
          <w:smallCaps w:val="0"/>
          <w:strike w:val="0"/>
          <w:sz w:val="16"/>
          <w:u w:val="none"/>
        </w:rPr>
        <w:t>Dep't</w:t>
      </w:r>
      <w:r>
        <w:rPr>
          <w:b w:val="0"/>
          <w:i w:val="0"/>
          <w:smallCaps w:val="0"/>
          <w:strike w:val="0"/>
          <w:sz w:val="16"/>
          <w:u w:val="none"/>
        </w:rPr>
        <w:t xml:space="preserve"> of Ecology, No. 14-2-25295-1 SEA, Order Denying Motion for Order of Contempt and Granting Sua Sponte Leave to File Amended Pleading (Wash. Super. Ct. Dec. 19, 2016) (</w:t>
      </w:r>
      <w:r>
        <w:rPr>
          <w:b w:val="0"/>
          <w:i w:val="0"/>
          <w:smallCaps w:val="0"/>
          <w:strike w:val="0"/>
          <w:sz w:val="16"/>
          <w:u w:val="none"/>
        </w:rPr>
        <w:t>citingJuliana</w:t>
      </w:r>
      <w:r>
        <w:rPr>
          <w:b w:val="0"/>
          <w:i w:val="0"/>
          <w:smallCaps w:val="0"/>
          <w:strike w:val="0"/>
          <w:sz w:val="16"/>
          <w:u w:val="none"/>
        </w:rPr>
        <w:t xml:space="preserve"> and </w:t>
      </w:r>
      <w:r>
        <w:rPr>
          <w:b w:val="0"/>
          <w:i w:val="0"/>
          <w:smallCaps w:val="0"/>
          <w:strike w:val="0"/>
          <w:sz w:val="16"/>
          <w:u w:val="none"/>
        </w:rPr>
        <w:t>Urgenda</w:t>
      </w:r>
      <w:r>
        <w:rPr>
          <w:b w:val="0"/>
          <w:i w:val="0"/>
          <w:smallCaps w:val="0"/>
          <w:strike w:val="0"/>
          <w:sz w:val="16"/>
          <w:u w:val="none"/>
        </w:rPr>
        <w:t xml:space="preserve">). regulating conventional pollutants in a manner that may have climate co-benefits (e.g., </w:t>
      </w:r>
      <w:r>
        <w:rPr>
          <w:b w:val="0"/>
          <w:i w:val="0"/>
          <w:smallCaps w:val="0"/>
          <w:strike w:val="0"/>
          <w:sz w:val="16"/>
          <w:u w:val="none"/>
        </w:rPr>
        <w:t>Gbemre</w:t>
      </w:r>
      <w:r>
        <w:rPr>
          <w:b w:val="0"/>
          <w:i w:val="0"/>
          <w:smallCaps w:val="0"/>
          <w:strike w:val="0"/>
          <w:sz w:val="16"/>
          <w:u w:val="none"/>
        </w:rPr>
        <w:t>).</w:t>
      </w:r>
    </w:p>
    <w:p>
      <w:pPr>
        <w:spacing w:after="60"/>
      </w:pPr>
      <w:r>
        <w:rPr>
          <w:b w:val="0"/>
          <w:i w:val="0"/>
          <w:smallCaps w:val="0"/>
          <w:strike w:val="0"/>
          <w:sz w:val="16"/>
          <w:u w:val="none"/>
        </w:rPr>
        <w:t xml:space="preserve">The experience to date suggests that courts are more willing to exercise an active role in guiding regulatory development where the statutory framework has proven ineffective (e.g., Leghari), as well as where States' actions to avert climate harm are seen as out of step with national policy or international commitments (e.g., </w:t>
      </w:r>
      <w:r>
        <w:rPr>
          <w:b w:val="0"/>
          <w:i w:val="0"/>
          <w:smallCaps w:val="0"/>
          <w:strike w:val="0"/>
          <w:sz w:val="16"/>
          <w:u w:val="none"/>
        </w:rPr>
        <w:t>Urgenda</w:t>
      </w:r>
      <w:r>
        <w:rPr>
          <w:b w:val="0"/>
          <w:i w:val="0"/>
          <w:smallCaps w:val="0"/>
          <w:strike w:val="0"/>
          <w:sz w:val="16"/>
          <w:u w:val="none"/>
        </w:rPr>
        <w:t xml:space="preserve">). Resort to international legal principles as a means of defining the scope of the State's legal obligation appears to occur most frequently when the content of national law is ambiguous (e.g., </w:t>
      </w:r>
      <w:r>
        <w:rPr>
          <w:b w:val="0"/>
          <w:i w:val="0"/>
          <w:smallCaps w:val="0"/>
          <w:strike w:val="0"/>
          <w:sz w:val="16"/>
          <w:u w:val="none"/>
        </w:rPr>
        <w:t>Urgenda</w:t>
      </w:r>
      <w:r>
        <w:rPr>
          <w:b w:val="0"/>
          <w:i w:val="0"/>
          <w:smallCaps w:val="0"/>
          <w:strike w:val="0"/>
          <w:sz w:val="16"/>
          <w:u w:val="none"/>
        </w:rPr>
        <w:t>; Leghari), and in legal systems that permit a direct uptake of international law.</w:t>
      </w:r>
    </w:p>
    <w:p>
      <w:pPr>
        <w:spacing w:after="60"/>
      </w:pPr>
      <w:r>
        <w:rPr>
          <w:b w:val="0"/>
          <w:i w:val="0"/>
          <w:smallCaps w:val="0"/>
          <w:strike w:val="0"/>
          <w:sz w:val="16"/>
          <w:u w:val="none"/>
        </w:rPr>
        <w:t xml:space="preserve">Second, while </w:t>
      </w:r>
      <w:r>
        <w:rPr>
          <w:b w:val="0"/>
          <w:i w:val="0"/>
          <w:smallCaps w:val="0"/>
          <w:strike w:val="0"/>
          <w:sz w:val="22"/>
          <w:u w:val="single"/>
        </w:rPr>
        <w:t>courts</w:t>
      </w:r>
      <w:r>
        <w:rPr>
          <w:b w:val="0"/>
          <w:i w:val="0"/>
          <w:smallCaps w:val="0"/>
          <w:strike w:val="0"/>
          <w:sz w:val="16"/>
          <w:u w:val="none"/>
        </w:rPr>
        <w:t xml:space="preserve"> to date </w:t>
      </w:r>
      <w:r>
        <w:rPr>
          <w:b w:val="0"/>
          <w:i w:val="0"/>
          <w:smallCaps w:val="0"/>
          <w:strike w:val="0"/>
          <w:sz w:val="22"/>
          <w:u w:val="single"/>
        </w:rPr>
        <w:t xml:space="preserve">have been unwilling to impose civil liability on private entities, </w:t>
      </w:r>
      <w:r>
        <w:rPr>
          <w:b w:val="0"/>
          <w:i w:val="0"/>
          <w:smallCaps w:val="0"/>
          <w:strike w:val="0"/>
          <w:sz w:val="16"/>
          <w:u w:val="none"/>
        </w:rPr>
        <w:t xml:space="preserve">especially in the United States </w:t>
      </w:r>
      <w:r>
        <w:rPr>
          <w:b w:val="0"/>
          <w:i w:val="0"/>
          <w:smallCaps w:val="0"/>
          <w:strike w:val="0"/>
          <w:sz w:val="22"/>
          <w:u w:val="single"/>
        </w:rPr>
        <w:t>where</w:t>
      </w:r>
      <w:r>
        <w:rPr>
          <w:b w:val="0"/>
          <w:i w:val="0"/>
          <w:smallCaps w:val="0"/>
          <w:strike w:val="0"/>
          <w:sz w:val="16"/>
          <w:u w:val="none"/>
        </w:rPr>
        <w:t xml:space="preserve"> </w:t>
      </w:r>
      <w:r>
        <w:rPr>
          <w:b w:val="0"/>
          <w:i w:val="0"/>
          <w:smallCaps w:val="0"/>
          <w:strike w:val="0"/>
          <w:sz w:val="16"/>
          <w:u w:val="none"/>
        </w:rPr>
        <w:t>the majority of</w:t>
      </w:r>
      <w:r>
        <w:rPr>
          <w:b w:val="0"/>
          <w:i w:val="0"/>
          <w:smallCaps w:val="0"/>
          <w:strike w:val="0"/>
          <w:sz w:val="16"/>
          <w:u w:val="none"/>
        </w:rPr>
        <w:t xml:space="preserve"> these </w:t>
      </w:r>
      <w:r>
        <w:rPr>
          <w:b w:val="0"/>
          <w:i w:val="0"/>
          <w:smallCaps w:val="0"/>
          <w:strike w:val="0"/>
          <w:sz w:val="22"/>
          <w:u w:val="single"/>
        </w:rPr>
        <w:t>suits</w:t>
      </w:r>
      <w:r>
        <w:rPr>
          <w:b w:val="0"/>
          <w:i w:val="0"/>
          <w:smallCaps w:val="0"/>
          <w:strike w:val="0"/>
          <w:sz w:val="16"/>
          <w:u w:val="none"/>
        </w:rPr>
        <w:t xml:space="preserve"> has been brought, </w:t>
      </w:r>
      <w:r>
        <w:rPr>
          <w:b w:val="0"/>
          <w:i w:val="0"/>
          <w:smallCaps w:val="0"/>
          <w:strike w:val="0"/>
          <w:sz w:val="22"/>
          <w:u w:val="single"/>
        </w:rPr>
        <w:t>emerging</w:t>
      </w:r>
      <w:r>
        <w:rPr>
          <w:b w:val="0"/>
          <w:i w:val="0"/>
          <w:smallCaps w:val="0"/>
          <w:strike w:val="0"/>
          <w:sz w:val="16"/>
          <w:u w:val="none"/>
        </w:rPr>
        <w:t xml:space="preserve"> </w:t>
      </w:r>
      <w:r>
        <w:rPr>
          <w:b w:val="0"/>
          <w:i w:val="0"/>
          <w:smallCaps w:val="0"/>
          <w:strike w:val="0"/>
          <w:sz w:val="22"/>
          <w:u w:val="single"/>
        </w:rPr>
        <w:t>science appears likely to feed additional litigation insofar as it helps to address some of the causation and apportionment hurdles</w:t>
      </w:r>
      <w:r>
        <w:rPr>
          <w:b w:val="0"/>
          <w:i w:val="0"/>
          <w:smallCaps w:val="0"/>
          <w:strike w:val="0"/>
          <w:sz w:val="16"/>
          <w:u w:val="none"/>
        </w:rPr>
        <w:t xml:space="preserve"> that have made these cases challenging. Also, additional and collateral avenues for private-sector accountability may emerge. For example, following the announcement that several state attorneys general and the Securities and Exchange Commission in the United States are investigating energy companies for allegedly misleading investors and the public about climate change, a securities fraud class action was filed against an energy company relating to climate change and non-disclosure of climate-related risks. 162</w:t>
      </w:r>
    </w:p>
    <w:p>
      <w:pPr>
        <w:spacing w:after="60"/>
      </w:pPr>
      <w:r>
        <w:rPr>
          <w:b w:val="0"/>
          <w:i w:val="0"/>
          <w:smallCaps w:val="0"/>
          <w:strike w:val="0"/>
          <w:sz w:val="16"/>
          <w:u w:val="none"/>
        </w:rPr>
        <w:t xml:space="preserve">Finally, </w:t>
      </w:r>
      <w:r>
        <w:rPr>
          <w:b w:val="0"/>
          <w:i w:val="0"/>
          <w:smallCaps w:val="0"/>
          <w:strike w:val="0"/>
          <w:sz w:val="22"/>
          <w:u w:val="single"/>
        </w:rPr>
        <w:t xml:space="preserve">while few </w:t>
      </w:r>
      <w:r>
        <w:rPr>
          <w:b w:val="0"/>
          <w:i w:val="0"/>
          <w:smallCaps w:val="0"/>
          <w:strike w:val="0"/>
          <w:sz w:val="16"/>
          <w:u w:val="none"/>
        </w:rPr>
        <w:t xml:space="preserve">national </w:t>
      </w:r>
      <w:r>
        <w:rPr>
          <w:b w:val="0"/>
          <w:i w:val="0"/>
          <w:smallCaps w:val="0"/>
          <w:strike w:val="0"/>
          <w:sz w:val="22"/>
          <w:u w:val="single"/>
        </w:rPr>
        <w:t>judges</w:t>
      </w:r>
      <w:r>
        <w:rPr>
          <w:b w:val="0"/>
          <w:i w:val="0"/>
          <w:smallCaps w:val="0"/>
          <w:strike w:val="0"/>
          <w:sz w:val="16"/>
          <w:u w:val="none"/>
        </w:rPr>
        <w:t xml:space="preserve"> to date </w:t>
      </w:r>
      <w:r>
        <w:rPr>
          <w:b w:val="0"/>
          <w:i w:val="0"/>
          <w:smallCaps w:val="0"/>
          <w:strike w:val="0"/>
          <w:sz w:val="22"/>
          <w:u w:val="single"/>
        </w:rPr>
        <w:t>have been called upon to adjudicate transnational climate claims</w:t>
      </w:r>
      <w:r>
        <w:rPr>
          <w:b w:val="0"/>
          <w:i w:val="0"/>
          <w:smallCaps w:val="0"/>
          <w:strike w:val="0"/>
          <w:sz w:val="16"/>
          <w:u w:val="none"/>
        </w:rPr>
        <w:t xml:space="preserve">, several recent </w:t>
      </w:r>
      <w:r>
        <w:rPr>
          <w:b w:val="0"/>
          <w:i w:val="0"/>
          <w:smallCaps w:val="0"/>
          <w:strike w:val="0"/>
          <w:sz w:val="22"/>
          <w:u w:val="single"/>
        </w:rPr>
        <w:t>cases</w:t>
      </w:r>
      <w:r>
        <w:rPr>
          <w:b w:val="0"/>
          <w:i w:val="0"/>
          <w:smallCaps w:val="0"/>
          <w:strike w:val="0"/>
          <w:sz w:val="16"/>
          <w:u w:val="none"/>
        </w:rPr>
        <w:t>, supported by emerging climate research,</w:t>
      </w:r>
      <w:r>
        <w:rPr>
          <w:b w:val="0"/>
          <w:i w:val="0"/>
          <w:smallCaps w:val="0"/>
          <w:strike w:val="0"/>
          <w:sz w:val="22"/>
          <w:u w:val="single"/>
        </w:rPr>
        <w:t xml:space="preserve"> appear likely to lead to an increase in cases of this kind</w:t>
      </w:r>
      <w:r>
        <w:rPr>
          <w:b w:val="0"/>
          <w:i w:val="0"/>
          <w:smallCaps w:val="0"/>
          <w:strike w:val="0"/>
          <w:sz w:val="16"/>
          <w:u w:val="none"/>
        </w:rPr>
        <w:t xml:space="preserve">. </w:t>
      </w:r>
    </w:p>
    <w:p>
      <w:pPr>
        <w:spacing w:after="60"/>
      </w:pPr>
      <w:r>
        <w:rPr>
          <w:b w:val="0"/>
          <w:i w:val="0"/>
          <w:smallCaps w:val="0"/>
          <w:strike w:val="0"/>
          <w:sz w:val="16"/>
          <w:u w:val="none"/>
        </w:rPr>
        <w:t>Overall,</w:t>
      </w:r>
      <w:r>
        <w:rPr>
          <w:b w:val="0"/>
          <w:i w:val="0"/>
          <w:smallCaps w:val="0"/>
          <w:strike w:val="0"/>
          <w:sz w:val="22"/>
          <w:u w:val="single"/>
        </w:rPr>
        <w:t xml:space="preserve"> the number of climate lawsuits is unquestionably on the </w:t>
      </w:r>
      <w:r>
        <w:rPr>
          <w:b/>
          <w:i w:val="0"/>
          <w:smallCaps w:val="0"/>
          <w:strike w:val="0"/>
          <w:sz w:val="22"/>
          <w:u w:val="single"/>
        </w:rPr>
        <w:t>rise</w:t>
      </w:r>
      <w:r>
        <w:rPr>
          <w:b w:val="0"/>
          <w:i w:val="0"/>
          <w:smallCaps w:val="0"/>
          <w:strike w:val="0"/>
          <w:sz w:val="22"/>
          <w:u w:val="single"/>
        </w:rPr>
        <w:t xml:space="preserve">, positioning the courts for an </w:t>
      </w:r>
      <w:r>
        <w:rPr>
          <w:b/>
          <w:i w:val="0"/>
          <w:smallCaps w:val="0"/>
          <w:strike w:val="0"/>
          <w:sz w:val="22"/>
          <w:u w:val="single"/>
        </w:rPr>
        <w:t>increasingly vital role</w:t>
      </w:r>
      <w:r>
        <w:rPr>
          <w:b w:val="0"/>
          <w:i w:val="0"/>
          <w:smallCaps w:val="0"/>
          <w:strike w:val="0"/>
          <w:sz w:val="22"/>
          <w:u w:val="single"/>
        </w:rPr>
        <w:t xml:space="preserve"> in ensuring climate-related accountability, enabling resiliency, and contributing to a sustainable future</w:t>
      </w:r>
      <w:r>
        <w:rPr>
          <w:b w:val="0"/>
          <w:i w:val="0"/>
          <w:smallCaps w:val="0"/>
          <w:strike w:val="0"/>
          <w:sz w:val="16"/>
          <w:u w:val="none"/>
        </w:rPr>
        <w:t>.</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