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Patent review is </w:t>
      </w:r>
      <w:r>
        <w:rPr>
          <w:b/>
          <w:i w:val="0"/>
          <w:smallCaps w:val="0"/>
          <w:strike w:val="0"/>
          <w:sz w:val="26"/>
          <w:u w:val="single"/>
        </w:rPr>
        <w:t>streamlined</w:t>
      </w:r>
      <w:r>
        <w:rPr>
          <w:b/>
          <w:i w:val="0"/>
          <w:smallCaps w:val="0"/>
          <w:strike w:val="0"/>
          <w:sz w:val="26"/>
          <w:u w:val="none"/>
        </w:rPr>
        <w:t xml:space="preserve"> but </w:t>
      </w:r>
      <w:r>
        <w:rPr>
          <w:b/>
          <w:i w:val="0"/>
          <w:smallCaps w:val="0"/>
          <w:strike w:val="0"/>
          <w:sz w:val="26"/>
          <w:u w:val="single"/>
        </w:rPr>
        <w:t>resource-intensive</w:t>
      </w:r>
      <w:r>
        <w:rPr>
          <w:b/>
          <w:i w:val="0"/>
          <w:smallCaps w:val="0"/>
          <w:strike w:val="0"/>
          <w:sz w:val="26"/>
          <w:u w:val="none"/>
        </w:rPr>
        <w:t xml:space="preserve">---it </w:t>
      </w:r>
      <w:r>
        <w:rPr>
          <w:b/>
          <w:i w:val="0"/>
          <w:smallCaps w:val="0"/>
          <w:strike w:val="0"/>
          <w:sz w:val="26"/>
          <w:u w:val="single"/>
        </w:rPr>
        <w:t>requires</w:t>
      </w:r>
      <w:r>
        <w:rPr>
          <w:b/>
          <w:i w:val="0"/>
          <w:smallCaps w:val="0"/>
          <w:strike w:val="0"/>
          <w:sz w:val="26"/>
          <w:u w:val="none"/>
        </w:rPr>
        <w:t xml:space="preserve"> continued </w:t>
      </w:r>
      <w:r>
        <w:rPr>
          <w:b/>
          <w:i w:val="0"/>
          <w:smallCaps w:val="0"/>
          <w:strike w:val="0"/>
          <w:sz w:val="26"/>
          <w:u w:val="single"/>
        </w:rPr>
        <w:t>efficiency</w:t>
      </w:r>
      <w:r>
        <w:rPr>
          <w:b/>
          <w:i w:val="0"/>
          <w:smallCaps w:val="0"/>
          <w:strike w:val="0"/>
          <w:sz w:val="26"/>
          <w:u w:val="none"/>
        </w:rPr>
        <w:t xml:space="preserve"> to sustain </w:t>
      </w:r>
      <w:r>
        <w:rPr>
          <w:b/>
          <w:i w:val="0"/>
          <w:smallCaps w:val="0"/>
          <w:strike w:val="0"/>
          <w:sz w:val="26"/>
          <w:u w:val="single"/>
        </w:rPr>
        <w:t>innovation</w:t>
      </w:r>
    </w:p>
    <w:p>
      <w:pPr>
        <w:spacing w:after="80"/>
      </w:pPr>
      <w:r>
        <w:rPr>
          <w:b w:val="0"/>
          <w:i w:val="0"/>
          <w:smallCaps w:val="0"/>
          <w:strike w:val="0"/>
          <w:u w:val="none"/>
        </w:rPr>
        <w:t xml:space="preserve">Cassandra E. </w:t>
      </w:r>
      <w:r>
        <w:rPr>
          <w:b/>
          <w:i w:val="0"/>
          <w:smallCaps w:val="0"/>
          <w:strike w:val="0"/>
          <w:sz w:val="26"/>
          <w:u w:val="none"/>
        </w:rPr>
        <w:t>Havens 17</w:t>
      </w:r>
      <w:r>
        <w:rPr>
          <w:b w:val="0"/>
          <w:i w:val="0"/>
          <w:smallCaps w:val="0"/>
          <w:strike w:val="0"/>
          <w:u w:val="none"/>
        </w:rPr>
        <w:t>, J.D. Candidate at the University of California, Berkeley, School of Law, “Saving Patent Law from Competition Policy and Economic Theories: Kimble v. Marvel Entertainment”, Berkeley Technology Law Journal, 31 Berkeley Tech. L.J. 371, Lexis</w:t>
      </w:r>
    </w:p>
    <w:p>
      <w:pPr>
        <w:spacing w:after="60"/>
      </w:pPr>
      <w:r>
        <w:rPr>
          <w:b w:val="0"/>
          <w:i w:val="0"/>
          <w:smallCaps w:val="0"/>
          <w:strike w:val="0"/>
          <w:sz w:val="22"/>
          <w:highlight w:val="cyan"/>
          <w:u w:val="single"/>
        </w:rPr>
        <w:t xml:space="preserve">Courts have </w:t>
      </w:r>
      <w:r>
        <w:rPr>
          <w:b/>
          <w:i w:val="0"/>
          <w:smallCaps w:val="0"/>
          <w:strike w:val="0"/>
          <w:sz w:val="22"/>
          <w:highlight w:val="cyan"/>
          <w:u w:val="single"/>
        </w:rPr>
        <w:t>limited resources</w:t>
      </w:r>
      <w:r>
        <w:rPr>
          <w:b w:val="0"/>
          <w:i w:val="0"/>
          <w:smallCaps w:val="0"/>
          <w:strike w:val="0"/>
          <w:sz w:val="22"/>
          <w:u w:val="single"/>
        </w:rPr>
        <w:t xml:space="preserve">, so methods of </w:t>
      </w:r>
      <w:r>
        <w:rPr>
          <w:b/>
          <w:i w:val="0"/>
          <w:smallCaps w:val="0"/>
          <w:strike w:val="0"/>
          <w:sz w:val="22"/>
          <w:highlight w:val="cyan"/>
          <w:u w:val="single"/>
        </w:rPr>
        <w:t>streamlining disputes</w:t>
      </w:r>
      <w:r>
        <w:rPr>
          <w:b w:val="0"/>
          <w:i w:val="0"/>
          <w:smallCaps w:val="0"/>
          <w:strike w:val="0"/>
          <w:sz w:val="22"/>
          <w:highlight w:val="cyan"/>
          <w:u w:val="single"/>
        </w:rPr>
        <w:t xml:space="preserve"> when</w:t>
      </w:r>
      <w:r>
        <w:rPr>
          <w:b w:val="0"/>
          <w:i w:val="0"/>
          <w:smallCaps w:val="0"/>
          <w:strike w:val="0"/>
          <w:sz w:val="22"/>
          <w:u w:val="single"/>
        </w:rPr>
        <w:t xml:space="preserve"> there is </w:t>
      </w:r>
      <w:r>
        <w:rPr>
          <w:b w:val="0"/>
          <w:i w:val="0"/>
          <w:smallCaps w:val="0"/>
          <w:strike w:val="0"/>
          <w:sz w:val="22"/>
          <w:highlight w:val="cyan"/>
          <w:u w:val="single"/>
        </w:rPr>
        <w:t xml:space="preserve">controlling precedent </w:t>
      </w:r>
      <w:r>
        <w:rPr>
          <w:b/>
          <w:i w:val="0"/>
          <w:smallCaps w:val="0"/>
          <w:strike w:val="0"/>
          <w:sz w:val="22"/>
          <w:highlight w:val="cyan"/>
          <w:u w:val="single"/>
        </w:rPr>
        <w:t>benefit everyone</w:t>
      </w:r>
      <w:r>
        <w:rPr>
          <w:b w:val="0"/>
          <w:i w:val="0"/>
          <w:smallCaps w:val="0"/>
          <w:strike w:val="0"/>
          <w:sz w:val="22"/>
          <w:u w:val="single"/>
        </w:rPr>
        <w:t xml:space="preserve">. In </w:t>
      </w:r>
      <w:r>
        <w:rPr>
          <w:b/>
          <w:i w:val="0"/>
          <w:smallCaps w:val="0"/>
          <w:strike w:val="0"/>
          <w:sz w:val="22"/>
          <w:u w:val="single"/>
        </w:rPr>
        <w:t>patent</w:t>
      </w:r>
      <w:r>
        <w:rPr>
          <w:b w:val="0"/>
          <w:i w:val="0"/>
          <w:smallCaps w:val="0"/>
          <w:strike w:val="0"/>
          <w:sz w:val="22"/>
          <w:u w:val="single"/>
        </w:rPr>
        <w:t xml:space="preserve"> litigation, </w:t>
      </w:r>
      <w:r>
        <w:rPr>
          <w:b/>
          <w:i w:val="0"/>
          <w:smallCaps w:val="0"/>
          <w:strike w:val="0"/>
          <w:sz w:val="22"/>
          <w:highlight w:val="cyan"/>
          <w:u w:val="single"/>
        </w:rPr>
        <w:t>efficiency</w:t>
      </w:r>
      <w:r>
        <w:rPr>
          <w:b w:val="0"/>
          <w:i w:val="0"/>
          <w:smallCaps w:val="0"/>
          <w:strike w:val="0"/>
          <w:sz w:val="22"/>
          <w:highlight w:val="cyan"/>
          <w:u w:val="single"/>
        </w:rPr>
        <w:t xml:space="preserve"> is </w:t>
      </w:r>
      <w:r>
        <w:rPr>
          <w:b/>
          <w:i w:val="0"/>
          <w:smallCaps w:val="0"/>
          <w:strike w:val="0"/>
          <w:sz w:val="22"/>
          <w:highlight w:val="cyan"/>
          <w:u w:val="single"/>
        </w:rPr>
        <w:t>especially important</w:t>
      </w:r>
      <w:r>
        <w:rPr>
          <w:b w:val="0"/>
          <w:i w:val="0"/>
          <w:smallCaps w:val="0"/>
          <w:strike w:val="0"/>
          <w:sz w:val="22"/>
          <w:u w:val="single"/>
        </w:rPr>
        <w:t xml:space="preserve">. Patent trials require an </w:t>
      </w:r>
      <w:r>
        <w:rPr>
          <w:b/>
          <w:i w:val="0"/>
          <w:smallCaps w:val="0"/>
          <w:strike w:val="0"/>
          <w:sz w:val="22"/>
          <w:u w:val="single"/>
        </w:rPr>
        <w:t>additional procedure</w:t>
      </w:r>
      <w:r>
        <w:rPr>
          <w:b w:val="0"/>
          <w:i w:val="0"/>
          <w:smallCaps w:val="0"/>
          <w:strike w:val="0"/>
          <w:sz w:val="22"/>
          <w:u w:val="single"/>
        </w:rPr>
        <w:t xml:space="preserve"> of claim construction</w:t>
      </w:r>
      <w:r>
        <w:rPr>
          <w:b w:val="0"/>
          <w:i w:val="0"/>
          <w:smallCaps w:val="0"/>
          <w:strike w:val="0"/>
          <w:sz w:val="14"/>
          <w:u w:val="none"/>
        </w:rPr>
        <w:t xml:space="preserve">, known as a Markman hearing. </w:t>
      </w:r>
      <w:r>
        <w:rPr>
          <w:b w:val="0"/>
          <w:i w:val="0"/>
          <w:smallCaps w:val="0"/>
          <w:strike w:val="0"/>
          <w:sz w:val="22"/>
          <w:u w:val="single"/>
        </w:rPr>
        <w:t xml:space="preserve">The </w:t>
      </w:r>
      <w:r>
        <w:rPr>
          <w:b w:val="0"/>
          <w:i w:val="0"/>
          <w:smallCaps w:val="0"/>
          <w:strike w:val="0"/>
          <w:sz w:val="22"/>
          <w:highlight w:val="cyan"/>
          <w:u w:val="single"/>
        </w:rPr>
        <w:t xml:space="preserve">median </w:t>
      </w:r>
      <w:r>
        <w:rPr>
          <w:b/>
          <w:i w:val="0"/>
          <w:smallCaps w:val="0"/>
          <w:strike w:val="0"/>
          <w:sz w:val="22"/>
          <w:highlight w:val="cyan"/>
          <w:u w:val="single"/>
        </w:rPr>
        <w:t>time</w:t>
      </w:r>
      <w:r>
        <w:rPr>
          <w:b w:val="0"/>
          <w:i w:val="0"/>
          <w:smallCaps w:val="0"/>
          <w:strike w:val="0"/>
          <w:sz w:val="14"/>
          <w:u w:val="none"/>
        </w:rPr>
        <w:t xml:space="preserve"> for a patent case to reach trial </w:t>
      </w:r>
      <w:r>
        <w:rPr>
          <w:b w:val="0"/>
          <w:i w:val="0"/>
          <w:smallCaps w:val="0"/>
          <w:strike w:val="0"/>
          <w:sz w:val="22"/>
          <w:u w:val="single"/>
        </w:rPr>
        <w:t xml:space="preserve">is </w:t>
      </w:r>
      <w:r>
        <w:rPr>
          <w:b w:val="0"/>
          <w:i w:val="0"/>
          <w:smallCaps w:val="0"/>
          <w:strike w:val="0"/>
          <w:sz w:val="22"/>
          <w:highlight w:val="cyan"/>
          <w:u w:val="single"/>
        </w:rPr>
        <w:t>2.4 years</w:t>
      </w:r>
      <w:r>
        <w:rPr>
          <w:b w:val="0"/>
          <w:i w:val="0"/>
          <w:smallCaps w:val="0"/>
          <w:strike w:val="0"/>
          <w:sz w:val="22"/>
          <w:u w:val="single"/>
        </w:rPr>
        <w:t xml:space="preserve">, and the </w:t>
      </w:r>
      <w:r>
        <w:rPr>
          <w:b/>
          <w:i w:val="0"/>
          <w:smallCaps w:val="0"/>
          <w:strike w:val="0"/>
          <w:sz w:val="22"/>
          <w:u w:val="single"/>
        </w:rPr>
        <w:t>cost</w:t>
      </w:r>
      <w:r>
        <w:rPr>
          <w:b w:val="0"/>
          <w:i w:val="0"/>
          <w:smallCaps w:val="0"/>
          <w:strike w:val="0"/>
          <w:sz w:val="22"/>
          <w:u w:val="single"/>
        </w:rPr>
        <w:t xml:space="preserve"> of patent litigation is</w:t>
      </w:r>
      <w:r>
        <w:rPr>
          <w:b w:val="0"/>
          <w:i w:val="0"/>
          <w:smallCaps w:val="0"/>
          <w:strike w:val="0"/>
          <w:sz w:val="14"/>
          <w:u w:val="none"/>
        </w:rPr>
        <w:t xml:space="preserve"> also </w:t>
      </w:r>
      <w:r>
        <w:rPr>
          <w:b w:val="0"/>
          <w:i w:val="0"/>
          <w:smallCaps w:val="0"/>
          <w:strike w:val="0"/>
          <w:sz w:val="22"/>
          <w:u w:val="single"/>
        </w:rPr>
        <w:t>very high</w:t>
      </w:r>
      <w:r>
        <w:rPr>
          <w:b w:val="0"/>
          <w:i w:val="0"/>
          <w:smallCaps w:val="0"/>
          <w:strike w:val="0"/>
          <w:sz w:val="14"/>
          <w:u w:val="none"/>
        </w:rPr>
        <w:t xml:space="preserve">. Using stare decisis to resolve aspects of the case can shift attention to the remaining contentious issues. Both Kimble and Marvel were unaware of Brulotte when drafting their settlement agreement, so while these parties had no strong reliance, other parties over the years have relied on Brulotte. </w:t>
      </w:r>
      <w:r>
        <w:rPr>
          <w:b w:val="0"/>
          <w:i w:val="0"/>
          <w:smallCaps w:val="0"/>
          <w:strike w:val="0"/>
          <w:sz w:val="22"/>
          <w:u w:val="single"/>
        </w:rPr>
        <w:t xml:space="preserve">Decisions that affect property and contracts have an increased likelihood of reliance. </w:t>
      </w:r>
      <w:r>
        <w:rPr>
          <w:b w:val="0"/>
          <w:i w:val="0"/>
          <w:smallCaps w:val="0"/>
          <w:strike w:val="0"/>
          <w:sz w:val="22"/>
          <w:highlight w:val="cyan"/>
          <w:u w:val="single"/>
        </w:rPr>
        <w:t>When people</w:t>
      </w:r>
      <w:r>
        <w:rPr>
          <w:b w:val="0"/>
          <w:i w:val="0"/>
          <w:smallCaps w:val="0"/>
          <w:strike w:val="0"/>
          <w:sz w:val="22"/>
          <w:u w:val="single"/>
        </w:rPr>
        <w:t xml:space="preserve"> can </w:t>
      </w:r>
      <w:r>
        <w:rPr>
          <w:b/>
          <w:i w:val="0"/>
          <w:smallCaps w:val="0"/>
          <w:strike w:val="0"/>
          <w:sz w:val="22"/>
          <w:highlight w:val="cyan"/>
          <w:u w:val="single"/>
        </w:rPr>
        <w:t>trust</w:t>
      </w:r>
      <w:r>
        <w:rPr>
          <w:b w:val="0"/>
          <w:i w:val="0"/>
          <w:smallCaps w:val="0"/>
          <w:strike w:val="0"/>
          <w:sz w:val="22"/>
          <w:highlight w:val="cyan"/>
          <w:u w:val="single"/>
        </w:rPr>
        <w:t xml:space="preserve"> the </w:t>
      </w:r>
      <w:r>
        <w:rPr>
          <w:b/>
          <w:i w:val="0"/>
          <w:smallCaps w:val="0"/>
          <w:strike w:val="0"/>
          <w:sz w:val="22"/>
          <w:highlight w:val="cyan"/>
          <w:u w:val="single"/>
        </w:rPr>
        <w:t>continuity</w:t>
      </w:r>
      <w:r>
        <w:rPr>
          <w:b w:val="0"/>
          <w:i w:val="0"/>
          <w:smallCaps w:val="0"/>
          <w:strike w:val="0"/>
          <w:sz w:val="22"/>
          <w:highlight w:val="cyan"/>
          <w:u w:val="single"/>
        </w:rPr>
        <w:t xml:space="preserve"> of</w:t>
      </w:r>
      <w:r>
        <w:rPr>
          <w:b w:val="0"/>
          <w:i w:val="0"/>
          <w:smallCaps w:val="0"/>
          <w:strike w:val="0"/>
          <w:sz w:val="22"/>
          <w:u w:val="single"/>
        </w:rPr>
        <w:t xml:space="preserve"> the </w:t>
      </w:r>
      <w:r>
        <w:rPr>
          <w:b w:val="0"/>
          <w:i w:val="0"/>
          <w:smallCaps w:val="0"/>
          <w:strike w:val="0"/>
          <w:sz w:val="22"/>
          <w:highlight w:val="cyan"/>
          <w:u w:val="single"/>
        </w:rPr>
        <w:t>law</w:t>
      </w:r>
      <w:r>
        <w:rPr>
          <w:b w:val="0"/>
          <w:i w:val="0"/>
          <w:smallCaps w:val="0"/>
          <w:strike w:val="0"/>
          <w:sz w:val="22"/>
          <w:u w:val="single"/>
        </w:rPr>
        <w:t xml:space="preserve">, they are </w:t>
      </w:r>
      <w:r>
        <w:rPr>
          <w:b w:val="0"/>
          <w:i w:val="0"/>
          <w:smallCaps w:val="0"/>
          <w:strike w:val="0"/>
          <w:sz w:val="22"/>
          <w:highlight w:val="cyan"/>
          <w:u w:val="single"/>
        </w:rPr>
        <w:t xml:space="preserve">more </w:t>
      </w:r>
      <w:r>
        <w:rPr>
          <w:b/>
          <w:i w:val="0"/>
          <w:smallCaps w:val="0"/>
          <w:strike w:val="0"/>
          <w:sz w:val="22"/>
          <w:highlight w:val="cyan"/>
          <w:u w:val="single"/>
        </w:rPr>
        <w:t>encouraged to make deals</w:t>
      </w:r>
      <w:r>
        <w:rPr>
          <w:b w:val="0"/>
          <w:i w:val="0"/>
          <w:smallCaps w:val="0"/>
          <w:strike w:val="0"/>
          <w:sz w:val="22"/>
          <w:u w:val="single"/>
        </w:rPr>
        <w:t xml:space="preserve"> and "arrange their affairs with </w:t>
      </w:r>
      <w:r>
        <w:rPr>
          <w:b/>
          <w:i w:val="0"/>
          <w:smallCaps w:val="0"/>
          <w:strike w:val="0"/>
          <w:sz w:val="22"/>
          <w:u w:val="single"/>
        </w:rPr>
        <w:t>confidence</w:t>
      </w:r>
      <w:r>
        <w:rPr>
          <w:b w:val="0"/>
          <w:i w:val="0"/>
          <w:smallCaps w:val="0"/>
          <w:strike w:val="0"/>
          <w:sz w:val="22"/>
          <w:u w:val="single"/>
        </w:rPr>
        <w:t>."</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