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Perception </w:t>
      </w:r>
      <w:r>
        <w:rPr>
          <w:b/>
          <w:i w:val="0"/>
          <w:smallCaps w:val="0"/>
          <w:strike w:val="0"/>
          <w:sz w:val="26"/>
          <w:u w:val="single"/>
        </w:rPr>
        <w:t>alone</w:t>
      </w:r>
      <w:r>
        <w:rPr>
          <w:b/>
          <w:i w:val="0"/>
          <w:smallCaps w:val="0"/>
          <w:strike w:val="0"/>
          <w:sz w:val="26"/>
          <w:u w:val="none"/>
        </w:rPr>
        <w:t xml:space="preserve"> triggers the link---the </w:t>
      </w:r>
      <w:r>
        <w:rPr>
          <w:b/>
          <w:i w:val="0"/>
          <w:smallCaps w:val="0"/>
          <w:strike w:val="0"/>
          <w:sz w:val="26"/>
          <w:u w:val="single"/>
        </w:rPr>
        <w:t>belief</w:t>
      </w:r>
      <w:r>
        <w:rPr>
          <w:b/>
          <w:i w:val="0"/>
          <w:smallCaps w:val="0"/>
          <w:strike w:val="0"/>
          <w:sz w:val="26"/>
          <w:u w:val="none"/>
        </w:rPr>
        <w:t xml:space="preserve"> in a litigation explosion causes access to be </w:t>
      </w:r>
      <w:r>
        <w:rPr>
          <w:b/>
          <w:i w:val="0"/>
          <w:smallCaps w:val="0"/>
          <w:strike w:val="0"/>
          <w:sz w:val="26"/>
          <w:u w:val="single"/>
        </w:rPr>
        <w:t>scaled back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Edward</w:t>
      </w:r>
      <w:r>
        <w:rPr>
          <w:b/>
          <w:i w:val="0"/>
          <w:smallCaps w:val="0"/>
          <w:strike w:val="0"/>
          <w:u w:val="none"/>
        </w:rPr>
        <w:t xml:space="preserve"> Cavanagh 15</w:t>
      </w:r>
      <w:r>
        <w:rPr>
          <w:b w:val="0"/>
          <w:i w:val="0"/>
          <w:smallCaps w:val="0"/>
          <w:strike w:val="0"/>
          <w:u w:val="none"/>
        </w:rPr>
        <w:t>, Professor of Law at St. John’s University School of Law, 2015, “Federal Civil Litigation at the Crossroads: Reshaping the Role of the Federal Courts in Twenty-First Century Dispute Resolution,” 93 Or. L. Rev. 631, Lexis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Concern over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excessive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litigation in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the federal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courts is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old hat ... [and]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typically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exaggeration</w:t>
      </w:r>
      <w:r>
        <w:rPr>
          <w:b w:val="0"/>
          <w:i w:val="0"/>
          <w:smallCaps w:val="0"/>
          <w:strike w:val="0"/>
          <w:sz w:val="12"/>
          <w:u w:val="none"/>
        </w:rPr>
        <w:t>... .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The truth about </w:t>
      </w:r>
      <w:r>
        <w:rPr>
          <w:b w:val="0"/>
          <w:i w:val="0"/>
          <w:smallCaps w:val="0"/>
          <w:strike w:val="0"/>
          <w:sz w:val="22"/>
          <w:u w:val="single"/>
        </w:rPr>
        <w:t>the "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litigation explosion'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is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that it 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weapon of perception</w:t>
      </w:r>
      <w:r>
        <w:rPr>
          <w:b w:val="0"/>
          <w:i w:val="0"/>
          <w:smallCaps w:val="0"/>
          <w:strike w:val="0"/>
          <w:sz w:val="12"/>
          <w:u w:val="none"/>
        </w:rPr>
        <w:t>, not substance</w:t>
      </w:r>
      <w:r>
        <w:rPr>
          <w:b w:val="0"/>
          <w:i w:val="0"/>
          <w:smallCaps w:val="0"/>
          <w:strike w:val="0"/>
          <w:sz w:val="12"/>
          <w:highlight w:val="cyan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public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can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persuaded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there is a litigation crisis</w:t>
      </w:r>
      <w:r>
        <w:rPr>
          <w:b w:val="0"/>
          <w:i w:val="0"/>
          <w:smallCaps w:val="0"/>
          <w:strike w:val="0"/>
          <w:sz w:val="12"/>
          <w:u w:val="none"/>
        </w:rPr>
        <w:t>, it may support efforts to cut back on litigation access.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