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There’s </w:t>
      </w:r>
      <w:r>
        <w:rPr>
          <w:b/>
          <w:i w:val="0"/>
          <w:smallCaps w:val="0"/>
          <w:strike w:val="0"/>
          <w:sz w:val="26"/>
          <w:u w:val="single"/>
        </w:rPr>
        <w:t>zero</w:t>
      </w:r>
      <w:r>
        <w:rPr>
          <w:b/>
          <w:i w:val="0"/>
          <w:smallCaps w:val="0"/>
          <w:strike w:val="0"/>
          <w:sz w:val="26"/>
          <w:u w:val="none"/>
        </w:rPr>
        <w:t xml:space="preserve"> excess capacity---patent cases are </w:t>
      </w:r>
      <w:r>
        <w:rPr>
          <w:b/>
          <w:i w:val="0"/>
          <w:smallCaps w:val="0"/>
          <w:strike w:val="0"/>
          <w:sz w:val="26"/>
          <w:u w:val="single"/>
        </w:rPr>
        <w:t>maxed out</w:t>
      </w:r>
    </w:p>
    <w:p>
      <w:pPr>
        <w:spacing w:after="80"/>
      </w:pPr>
      <w:r>
        <w:rPr>
          <w:b w:val="0"/>
          <w:i w:val="0"/>
          <w:smallCaps w:val="0"/>
          <w:strike w:val="0"/>
          <w:u w:val="none"/>
        </w:rPr>
        <w:t xml:space="preserve">Sapna </w:t>
      </w:r>
      <w:r>
        <w:rPr>
          <w:b/>
          <w:i w:val="0"/>
          <w:smallCaps w:val="0"/>
          <w:strike w:val="0"/>
          <w:sz w:val="26"/>
          <w:u w:val="none"/>
        </w:rPr>
        <w:t>Kumar 21</w:t>
      </w:r>
      <w:r>
        <w:rPr>
          <w:b w:val="0"/>
          <w:i w:val="0"/>
          <w:smallCaps w:val="0"/>
          <w:strike w:val="0"/>
          <w:u w:val="none"/>
        </w:rPr>
        <w:t>, Law Foundation Professor of Law at the University of Houston Law Center, “Judging Patents”, William &amp; Mary Law Review, 62 Wm. &amp; Mary L. Rev. 871, February 2021, Lexis</w:t>
      </w:r>
    </w:p>
    <w:p>
      <w:pPr>
        <w:spacing w:after="60"/>
      </w:pPr>
      <w:r>
        <w:rPr>
          <w:b w:val="0"/>
          <w:i w:val="0"/>
          <w:smallCaps w:val="0"/>
          <w:strike w:val="0"/>
          <w:sz w:val="14"/>
          <w:u w:val="none"/>
        </w:rPr>
        <w:t xml:space="preserve">A related problem is that </w:t>
      </w:r>
      <w:r>
        <w:rPr>
          <w:b w:val="0"/>
          <w:i w:val="0"/>
          <w:smallCaps w:val="0"/>
          <w:strike w:val="0"/>
          <w:sz w:val="22"/>
          <w:u w:val="single"/>
        </w:rPr>
        <w:t xml:space="preserve">under the current U.S. system, several district courts hear a </w:t>
      </w:r>
      <w:r>
        <w:rPr>
          <w:b/>
          <w:i w:val="0"/>
          <w:smallCaps w:val="0"/>
          <w:strike w:val="0"/>
          <w:sz w:val="22"/>
          <w:highlight w:val="cyan"/>
          <w:u w:val="single"/>
        </w:rPr>
        <w:t>high volume</w:t>
      </w:r>
      <w:r>
        <w:rPr>
          <w:b w:val="0"/>
          <w:i w:val="0"/>
          <w:smallCaps w:val="0"/>
          <w:strike w:val="0"/>
          <w:sz w:val="22"/>
          <w:highlight w:val="cyan"/>
          <w:u w:val="single"/>
        </w:rPr>
        <w:t xml:space="preserve"> of patent cases</w:t>
      </w:r>
      <w:r>
        <w:rPr>
          <w:b w:val="0"/>
          <w:i w:val="0"/>
          <w:smallCaps w:val="0"/>
          <w:strike w:val="0"/>
          <w:sz w:val="22"/>
          <w:u w:val="single"/>
        </w:rPr>
        <w:t xml:space="preserve"> and are </w:t>
      </w:r>
      <w:r>
        <w:rPr>
          <w:b/>
          <w:i w:val="0"/>
          <w:smallCaps w:val="0"/>
          <w:strike w:val="0"/>
          <w:sz w:val="22"/>
          <w:u w:val="single"/>
        </w:rPr>
        <w:t>overloaded</w:t>
      </w:r>
      <w:r>
        <w:rPr>
          <w:b w:val="0"/>
          <w:i w:val="0"/>
          <w:smallCaps w:val="0"/>
          <w:strike w:val="0"/>
          <w:sz w:val="22"/>
          <w:u w:val="single"/>
        </w:rPr>
        <w:t xml:space="preserve"> with work</w:t>
      </w:r>
      <w:r>
        <w:rPr>
          <w:b w:val="0"/>
          <w:i w:val="0"/>
          <w:smallCaps w:val="0"/>
          <w:strike w:val="0"/>
          <w:sz w:val="14"/>
          <w:u w:val="none"/>
        </w:rPr>
        <w:t xml:space="preserve">. After the Supreme Court's decision regarding venue in TC Heartland LLC v. Kraft Foods Group Brands LLC, patent litigation soared in the District of Delaware, Central District of California, and Northern District of California. Yet, </w:t>
      </w:r>
      <w:r>
        <w:rPr>
          <w:b w:val="0"/>
          <w:i w:val="0"/>
          <w:smallCaps w:val="0"/>
          <w:strike w:val="0"/>
          <w:sz w:val="22"/>
          <w:u w:val="single"/>
        </w:rPr>
        <w:t>judicial appointments and new judgeships have not kept pace</w:t>
      </w:r>
      <w:r>
        <w:rPr>
          <w:b w:val="0"/>
          <w:i w:val="0"/>
          <w:smallCaps w:val="0"/>
          <w:strike w:val="0"/>
          <w:sz w:val="14"/>
          <w:u w:val="none"/>
        </w:rPr>
        <w:t xml:space="preserve"> in </w:t>
      </w:r>
      <w:r>
        <w:rPr>
          <w:b w:val="0"/>
          <w:i w:val="0"/>
          <w:smallCaps w:val="0"/>
          <w:strike w:val="0"/>
          <w:sz w:val="14"/>
          <w:u w:val="none"/>
        </w:rPr>
        <w:t>these  [</w:t>
      </w:r>
      <w:r>
        <w:rPr>
          <w:b w:val="0"/>
          <w:i w:val="0"/>
          <w:smallCaps w:val="0"/>
          <w:strike w:val="0"/>
          <w:sz w:val="14"/>
          <w:u w:val="none"/>
        </w:rPr>
        <w:t xml:space="preserve">*917] courts. </w:t>
      </w:r>
      <w:r>
        <w:rPr>
          <w:b w:val="0"/>
          <w:i w:val="0"/>
          <w:smallCaps w:val="0"/>
          <w:strike w:val="0"/>
          <w:sz w:val="22"/>
          <w:u w:val="single"/>
        </w:rPr>
        <w:t xml:space="preserve">This has led to </w:t>
      </w:r>
      <w:r>
        <w:rPr>
          <w:b/>
          <w:i w:val="0"/>
          <w:smallCaps w:val="0"/>
          <w:strike w:val="0"/>
          <w:sz w:val="22"/>
          <w:highlight w:val="cyan"/>
          <w:u w:val="single"/>
        </w:rPr>
        <w:t>overburdened</w:t>
      </w:r>
      <w:r>
        <w:rPr>
          <w:b w:val="0"/>
          <w:i w:val="0"/>
          <w:smallCaps w:val="0"/>
          <w:strike w:val="0"/>
          <w:sz w:val="22"/>
          <w:highlight w:val="cyan"/>
          <w:u w:val="single"/>
        </w:rPr>
        <w:t xml:space="preserve"> judges turning to</w:t>
      </w:r>
      <w:r>
        <w:rPr>
          <w:b w:val="0"/>
          <w:i w:val="0"/>
          <w:smallCaps w:val="0"/>
          <w:strike w:val="0"/>
          <w:sz w:val="22"/>
          <w:u w:val="single"/>
        </w:rPr>
        <w:t xml:space="preserve"> </w:t>
      </w:r>
      <w:r>
        <w:rPr>
          <w:b/>
          <w:i w:val="0"/>
          <w:smallCaps w:val="0"/>
          <w:strike w:val="0"/>
          <w:sz w:val="22"/>
          <w:u w:val="single"/>
        </w:rPr>
        <w:t xml:space="preserve">creative </w:t>
      </w:r>
      <w:r>
        <w:rPr>
          <w:b/>
          <w:i w:val="0"/>
          <w:smallCaps w:val="0"/>
          <w:strike w:val="0"/>
          <w:sz w:val="22"/>
          <w:highlight w:val="cyan"/>
          <w:u w:val="single"/>
        </w:rPr>
        <w:t>strategies</w:t>
      </w:r>
      <w:r>
        <w:rPr>
          <w:b w:val="0"/>
          <w:i w:val="0"/>
          <w:smallCaps w:val="0"/>
          <w:strike w:val="0"/>
          <w:sz w:val="22"/>
          <w:highlight w:val="cyan"/>
          <w:u w:val="single"/>
        </w:rPr>
        <w:t xml:space="preserve"> to </w:t>
      </w:r>
      <w:r>
        <w:rPr>
          <w:b/>
          <w:i w:val="0"/>
          <w:smallCaps w:val="0"/>
          <w:strike w:val="0"/>
          <w:sz w:val="22"/>
          <w:highlight w:val="cyan"/>
          <w:u w:val="single"/>
        </w:rPr>
        <w:t>keep up</w:t>
      </w:r>
      <w:r>
        <w:rPr>
          <w:b w:val="0"/>
          <w:i w:val="0"/>
          <w:smallCaps w:val="0"/>
          <w:strike w:val="0"/>
          <w:sz w:val="22"/>
          <w:highlight w:val="cyan"/>
          <w:u w:val="single"/>
        </w:rPr>
        <w:t xml:space="preserve"> with</w:t>
      </w:r>
      <w:r>
        <w:rPr>
          <w:b w:val="0"/>
          <w:i w:val="0"/>
          <w:smallCaps w:val="0"/>
          <w:strike w:val="0"/>
          <w:sz w:val="22"/>
          <w:u w:val="single"/>
        </w:rPr>
        <w:t xml:space="preserve"> their </w:t>
      </w:r>
      <w:r>
        <w:rPr>
          <w:b/>
          <w:i w:val="0"/>
          <w:smallCaps w:val="0"/>
          <w:strike w:val="0"/>
          <w:sz w:val="22"/>
          <w:highlight w:val="cyan"/>
          <w:u w:val="single"/>
        </w:rPr>
        <w:t>growing</w:t>
      </w:r>
      <w:r>
        <w:rPr>
          <w:b/>
          <w:i w:val="0"/>
          <w:smallCaps w:val="0"/>
          <w:strike w:val="0"/>
          <w:sz w:val="22"/>
          <w:u w:val="single"/>
        </w:rPr>
        <w:t xml:space="preserve"> patent </w:t>
      </w:r>
      <w:r>
        <w:rPr>
          <w:b/>
          <w:i w:val="0"/>
          <w:smallCaps w:val="0"/>
          <w:strike w:val="0"/>
          <w:sz w:val="22"/>
          <w:highlight w:val="cyan"/>
          <w:u w:val="single"/>
        </w:rPr>
        <w:t>dockets</w:t>
      </w:r>
      <w:r>
        <w:rPr>
          <w:b w:val="0"/>
          <w:i w:val="0"/>
          <w:smallCaps w:val="0"/>
          <w:strike w:val="0"/>
          <w:sz w:val="14"/>
          <w:u w:val="none"/>
        </w:rPr>
        <w:t>, such as staying cases while the PTAB undertakes inter partes review.</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