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IPR cases went up last year </w:t>
      </w:r>
    </w:p>
    <w:p>
      <w:pPr>
        <w:spacing w:after="80"/>
      </w:pPr>
      <w:r>
        <w:rPr>
          <w:b/>
          <w:i w:val="0"/>
          <w:smallCaps w:val="0"/>
          <w:strike w:val="0"/>
          <w:sz w:val="26"/>
          <w:u w:val="none"/>
        </w:rPr>
        <w:t>US Courts 23</w:t>
      </w:r>
      <w:r>
        <w:rPr>
          <w:b w:val="0"/>
          <w:i w:val="0"/>
          <w:smallCaps w:val="0"/>
          <w:strike w:val="0"/>
          <w:u w:val="none"/>
        </w:rPr>
        <w:t xml:space="preserve">, “Federal Judicial Caseload Statistics 2023”, </w:t>
      </w:r>
      <w:r>
        <w:rPr>
          <w:b w:val="0"/>
          <w:i/>
          <w:smallCaps w:val="0"/>
          <w:strike w:val="0"/>
          <w:u w:val="none"/>
        </w:rPr>
        <w:t>US Courts</w:t>
      </w:r>
      <w:r>
        <w:rPr>
          <w:b w:val="0"/>
          <w:i w:val="0"/>
          <w:smallCaps w:val="0"/>
          <w:strike w:val="0"/>
          <w:u w:val="none"/>
        </w:rPr>
        <w:t xml:space="preserve">, </w:t>
      </w:r>
      <w:r>
        <w:rPr>
          <w:b w:val="0"/>
          <w:i w:val="0"/>
          <w:smallCaps w:val="0"/>
          <w:strike w:val="0"/>
          <w:u w:val="none"/>
        </w:rPr>
        <w:t xml:space="preserve">, 2023 </w:t>
      </w:r>
    </w:p>
    <w:p>
      <w:pPr>
        <w:spacing w:after="60"/>
      </w:pPr>
      <w:r>
        <w:rPr>
          <w:b w:val="0"/>
          <w:i w:val="0"/>
          <w:smallCaps w:val="0"/>
          <w:strike w:val="0"/>
          <w:u w:val="none"/>
        </w:rPr>
        <w:t>Federal question filings held steady, growing less than 1 percent to 131,658.</w:t>
      </w:r>
    </w:p>
    <w:p>
      <w:pPr>
        <w:spacing w:after="60"/>
      </w:pPr>
      <w:r>
        <w:rPr>
          <w:b w:val="0"/>
          <w:i w:val="0"/>
          <w:smallCaps w:val="0"/>
          <w:strike w:val="0"/>
          <w:sz w:val="16"/>
          <w:u w:val="none"/>
        </w:rPr>
        <w:t>Prisoner petitions increased 7 percent (up 2,490 petitions) as petitions involving civil rights grew 10 percent (up 1,744) to 18,488.</w:t>
      </w:r>
    </w:p>
    <w:p>
      <w:pPr>
        <w:spacing w:after="60"/>
      </w:pPr>
      <w:r>
        <w:rPr>
          <w:b w:val="0"/>
          <w:i w:val="0"/>
          <w:smallCaps w:val="0"/>
          <w:strike w:val="0"/>
          <w:sz w:val="16"/>
          <w:u w:val="none"/>
        </w:rPr>
        <w:t>Real property actions rose 23 percent (up 291 cases) as cases dealing with rent, lease, and ejectment grew 49 percent (up 159 cases).</w:t>
      </w:r>
    </w:p>
    <w:p>
      <w:pPr>
        <w:spacing w:after="60"/>
      </w:pPr>
      <w:r>
        <w:rPr>
          <w:b w:val="0"/>
          <w:i w:val="0"/>
          <w:smallCaps w:val="0"/>
          <w:strike w:val="0"/>
          <w:sz w:val="22"/>
          <w:u w:val="single"/>
        </w:rPr>
        <w:t xml:space="preserve">Intellectual property rights filings </w:t>
      </w:r>
      <w:r>
        <w:rPr>
          <w:b/>
          <w:i w:val="0"/>
          <w:smallCaps w:val="0"/>
          <w:strike w:val="0"/>
          <w:sz w:val="22"/>
          <w:u w:val="single"/>
        </w:rPr>
        <w:t>increased</w:t>
      </w:r>
      <w:r>
        <w:rPr>
          <w:b w:val="0"/>
          <w:i w:val="0"/>
          <w:smallCaps w:val="0"/>
          <w:strike w:val="0"/>
          <w:sz w:val="22"/>
          <w:u w:val="single"/>
        </w:rPr>
        <w:t xml:space="preserve"> 10 percen</w:t>
      </w:r>
      <w:r>
        <w:rPr>
          <w:b w:val="0"/>
          <w:i w:val="0"/>
          <w:smallCaps w:val="0"/>
          <w:strike w:val="0"/>
          <w:sz w:val="16"/>
          <w:u w:val="none"/>
        </w:rPr>
        <w:t xml:space="preserve">t (up 1,165 cases) as </w:t>
      </w:r>
      <w:r>
        <w:rPr>
          <w:b w:val="0"/>
          <w:i w:val="0"/>
          <w:smallCaps w:val="0"/>
          <w:strike w:val="0"/>
          <w:sz w:val="22"/>
          <w:u w:val="single"/>
        </w:rPr>
        <w:t>cases</w:t>
      </w:r>
      <w:r>
        <w:rPr>
          <w:b w:val="0"/>
          <w:i w:val="0"/>
          <w:smallCaps w:val="0"/>
          <w:strike w:val="0"/>
          <w:sz w:val="16"/>
          <w:u w:val="none"/>
        </w:rPr>
        <w:t xml:space="preserve"> </w:t>
      </w:r>
      <w:r>
        <w:rPr>
          <w:b w:val="0"/>
          <w:i w:val="0"/>
          <w:smallCaps w:val="0"/>
          <w:strike w:val="0"/>
          <w:sz w:val="22"/>
          <w:u w:val="single"/>
        </w:rPr>
        <w:t>related to copyright</w:t>
      </w:r>
      <w:r>
        <w:rPr>
          <w:b/>
          <w:i w:val="0"/>
          <w:smallCaps w:val="0"/>
          <w:strike w:val="0"/>
          <w:sz w:val="22"/>
          <w:u w:val="single"/>
        </w:rPr>
        <w:t xml:space="preserve"> jumped 25 percent </w:t>
      </w:r>
      <w:r>
        <w:rPr>
          <w:b w:val="0"/>
          <w:i w:val="0"/>
          <w:smallCaps w:val="0"/>
          <w:strike w:val="0"/>
          <w:sz w:val="16"/>
          <w:u w:val="none"/>
        </w:rPr>
        <w:t xml:space="preserve">(up 1,137 cases) </w:t>
      </w:r>
      <w:r>
        <w:rPr>
          <w:b w:val="0"/>
          <w:i w:val="0"/>
          <w:smallCaps w:val="0"/>
          <w:strike w:val="0"/>
          <w:sz w:val="22"/>
          <w:u w:val="single"/>
        </w:rPr>
        <w:t xml:space="preserve">and cases involving trademark grew </w:t>
      </w:r>
      <w:r>
        <w:rPr>
          <w:b/>
          <w:i w:val="0"/>
          <w:smallCaps w:val="0"/>
          <w:strike w:val="0"/>
          <w:sz w:val="22"/>
          <w:u w:val="single"/>
        </w:rPr>
        <w:t>12 percent</w:t>
      </w:r>
      <w:r>
        <w:rPr>
          <w:b w:val="0"/>
          <w:i w:val="0"/>
          <w:smallCaps w:val="0"/>
          <w:strike w:val="0"/>
          <w:sz w:val="16"/>
          <w:u w:val="none"/>
        </w:rPr>
        <w:t xml:space="preserve"> (up 361 cases).</w:t>
      </w:r>
    </w:p>
    <w:p>
      <w:pPr>
        <w:spacing w:after="60"/>
      </w:pPr>
      <w:r>
        <w:rPr>
          <w:b w:val="0"/>
          <w:i w:val="0"/>
          <w:smallCaps w:val="0"/>
          <w:strike w:val="0"/>
          <w:sz w:val="16"/>
          <w:u w:val="none"/>
        </w:rPr>
        <w:t>Civil rights filings decreased 6 percent (down 2,097 cases) as cases addressing claims under the American with Disabilities Act (Other) declined 22 percent (down 2,497 cases) and cases dealing with education dropped 11 percent (down 92 cases). However, civil rights filings involving housing and accommodations climbed 25 percent (up 173 cases) to 871.</w:t>
      </w:r>
    </w:p>
    <w:p>
      <w:pPr>
        <w:spacing w:after="60"/>
      </w:pPr>
      <w:r>
        <w:rPr>
          <w:b w:val="0"/>
          <w:i w:val="0"/>
          <w:smallCaps w:val="0"/>
          <w:strike w:val="0"/>
          <w:sz w:val="16"/>
          <w:u w:val="none"/>
        </w:rPr>
        <w:t>Civil bankruptcy cases decreased 20 percent (down 366 cases) as filings related to bankruptcy appeals declined 19 percent (down 316 cases) to 1,315.</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