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Patent Clog Nonunique --- domestically AND internationally </w:t>
      </w:r>
      <w:r>
        <w:rPr>
          <w:b w:val="0"/>
          <w:i w:val="0"/>
          <w:smallCaps w:val="0"/>
          <w:strike w:val="0"/>
          <w:sz w:val="26"/>
          <w:u w:val="none"/>
        </w:rPr>
        <w:t>--- best studies.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Golodne</w:t>
      </w:r>
      <w:r>
        <w:rPr>
          <w:b/>
          <w:i w:val="0"/>
          <w:smallCaps w:val="0"/>
          <w:strike w:val="0"/>
          <w:sz w:val="26"/>
          <w:u w:val="none"/>
        </w:rPr>
        <w:t xml:space="preserve"> and 22</w:t>
      </w:r>
      <w:r>
        <w:rPr>
          <w:b w:val="0"/>
          <w:i w:val="0"/>
          <w:smallCaps w:val="0"/>
          <w:strike w:val="0"/>
          <w:u w:val="none"/>
        </w:rPr>
        <w:t xml:space="preserve"> – Researcher at the Brazilian National Institute of Intellectual Property; Researcher at the Federal University of the State of Rio de Janeiro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Daniel Marques </w:t>
      </w:r>
      <w:r>
        <w:rPr>
          <w:b w:val="0"/>
          <w:i w:val="0"/>
          <w:smallCaps w:val="0"/>
          <w:strike w:val="0"/>
          <w:u w:val="none"/>
        </w:rPr>
        <w:t>Golodne</w:t>
      </w:r>
      <w:r>
        <w:rPr>
          <w:b w:val="0"/>
          <w:i w:val="0"/>
          <w:smallCaps w:val="0"/>
          <w:strike w:val="0"/>
          <w:u w:val="none"/>
        </w:rPr>
        <w:t xml:space="preserve"> and Alexandre Sousa da Silva, “Managing patent examiners’ workload by using patent application volume data,” World Patent Information, 03-xx-2022, https://www.sciencedirect.com/science/article/pii/S0172219022000023#!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Since the early 1980's,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amount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filed in several jurisdictions has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steadily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drastically increasing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, resulting in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marked </w:t>
      </w:r>
      <w:r>
        <w:rPr>
          <w:b/>
          <w:i w:val="0"/>
          <w:smallCaps w:val="0"/>
          <w:strike w:val="0"/>
          <w:sz w:val="22"/>
          <w:u w:val="single"/>
        </w:rPr>
        <w:t>increase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number of unexamined applications (the so-called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backlog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every patent office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[1].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workload in each office might be considered one of the </w:t>
      </w:r>
      <w:r>
        <w:rPr>
          <w:b/>
          <w:i w:val="0"/>
          <w:smallCaps w:val="0"/>
          <w:strike w:val="0"/>
          <w:sz w:val="22"/>
          <w:u w:val="single"/>
        </w:rPr>
        <w:t>key indicators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affecting the overall quality of patent systems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[2].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a study on patent applications filed at the European Patent Office (EPO) </w:t>
      </w:r>
      <w:r>
        <w:rPr>
          <w:b w:val="0"/>
          <w:i w:val="0"/>
          <w:smallCaps w:val="0"/>
          <w:strike w:val="0"/>
          <w:sz w:val="16"/>
          <w:u w:val="none"/>
        </w:rPr>
        <w:t>Archontopoulos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 al. [3] have unequivocally demonstrated that, besides the marked increase in the </w:t>
      </w:r>
      <w:r>
        <w:rPr>
          <w:b w:val="0"/>
          <w:i w:val="0"/>
          <w:smallCaps w:val="0"/>
          <w:strike w:val="0"/>
          <w:sz w:val="16"/>
          <w:u w:val="none"/>
        </w:rPr>
        <w:t>amount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applications,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volume of each application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has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recent years, particularly concerning the number of pages and number of claims.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total page count of a patent document can be associated with the degree of disclosure supplied, while the total number of claims might indicate the scope or width of protection which is sought. </w:t>
      </w:r>
      <w:r>
        <w:rPr>
          <w:b w:val="0"/>
          <w:i w:val="0"/>
          <w:smallCaps w:val="0"/>
          <w:strike w:val="0"/>
          <w:sz w:val="22"/>
          <w:u w:val="single"/>
        </w:rPr>
        <w:t>In this study the authors point out some limitations that might be taken into account when using these parameters in any analysis: (</w:t>
      </w:r>
      <w:r>
        <w:rPr>
          <w:b w:val="0"/>
          <w:i w:val="0"/>
          <w:smallCaps w:val="0"/>
          <w:strike w:val="0"/>
          <w:sz w:val="22"/>
          <w:u w:val="single"/>
        </w:rPr>
        <w:t>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) total page estimates are dependent on the formatting of the documents, with a great deal of variation among applications and different patent offices; (ii) ideally one should separately </w:t>
      </w:r>
      <w:r>
        <w:rPr>
          <w:b w:val="0"/>
          <w:i w:val="0"/>
          <w:smallCaps w:val="0"/>
          <w:strike w:val="0"/>
          <w:sz w:val="22"/>
          <w:u w:val="single"/>
        </w:rPr>
        <w:t>analyse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number of independent and dependent claims, although this sort of information is currently not easily recovered from the available data sources; and (iii) both variables are strongly linked to the language employed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e.g. more words are found in documents in Latin languages compared to Germanic languages – the latter having longer words [3]. Even having those limitations in mind, the authors indicate that the number of pages and claims is correlated – positively, albeit in different proportion – with the number of priorities, inventors and IPC symbols assigned; </w:t>
      </w:r>
      <w:r>
        <w:rPr>
          <w:b w:val="0"/>
          <w:i w:val="0"/>
          <w:smallCaps w:val="0"/>
          <w:strike w:val="0"/>
          <w:sz w:val="16"/>
          <w:u w:val="none"/>
        </w:rPr>
        <w:t>and also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influenced by the country of origin and technological field – with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greater volume associated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applications having US origin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from sectors like biotechnology and computers.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Hence,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offices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to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deal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combined effects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increase both in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number of 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volume per 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which tends to </w:t>
      </w:r>
      <w:r>
        <w:rPr>
          <w:b/>
          <w:i w:val="0"/>
          <w:smallCaps w:val="0"/>
          <w:strike w:val="0"/>
          <w:sz w:val="22"/>
          <w:u w:val="single"/>
        </w:rPr>
        <w:t>deepen the backlog 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they have to face</w:t>
      </w:r>
      <w:r>
        <w:rPr>
          <w:b w:val="0"/>
          <w:i w:val="0"/>
          <w:smallCaps w:val="0"/>
          <w:strike w:val="0"/>
          <w:u w:val="none"/>
        </w:rPr>
        <w:t xml:space="preserve"> [3,4].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increasing volume of patent applications is </w:t>
      </w:r>
      <w:r>
        <w:rPr>
          <w:b/>
          <w:i w:val="0"/>
          <w:smallCaps w:val="0"/>
          <w:strike w:val="0"/>
          <w:sz w:val="22"/>
          <w:u w:val="single"/>
        </w:rPr>
        <w:t>frequently associated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a corresponding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increase in complexity</w:t>
      </w:r>
      <w:r>
        <w:rPr>
          <w:b w:val="0"/>
          <w:i w:val="0"/>
          <w:smallCaps w:val="0"/>
          <w:strike w:val="0"/>
          <w:sz w:val="22"/>
          <w:u w:val="single"/>
        </w:rPr>
        <w:t>, following the assumption that as a technology becomes more complex, more words are needed to describe it properly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complexity of the analysis of a patent application might be tentatively correlated with several indicators derived from the document itself [3,5]. One should bear in mind that measuring complexity is thought to be dependent on the context, and </w:t>
      </w:r>
      <w:r>
        <w:rPr>
          <w:b w:val="0"/>
          <w:i w:val="0"/>
          <w:smallCaps w:val="0"/>
          <w:strike w:val="0"/>
          <w:sz w:val="16"/>
          <w:u w:val="none"/>
        </w:rPr>
        <w:t>behaviour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/capabilities of the observer [6]. For instance, </w:t>
      </w:r>
      <w:r>
        <w:rPr>
          <w:b w:val="0"/>
          <w:i w:val="0"/>
          <w:smallCaps w:val="0"/>
          <w:strike w:val="0"/>
          <w:sz w:val="16"/>
          <w:u w:val="none"/>
        </w:rPr>
        <w:t>Broekel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[7] quantified the complexity of technologies based on the co-occurrence of classification symbols (CPC) in a dataset of European patent applications spanning a period of 36 years, demonstrating that complexity is increasing over time. Clearly, the increasing volume of each patent application is linked with </w:t>
      </w:r>
      <w:r>
        <w:rPr>
          <w:b w:val="0"/>
          <w:i w:val="0"/>
          <w:smallCaps w:val="0"/>
          <w:strike w:val="0"/>
          <w:sz w:val="16"/>
          <w:u w:val="none"/>
        </w:rPr>
        <w:t>an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increase in the pendency time until granting [3].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Some authors indicate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from the standpoint of the patent examiners, this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increasing workload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– together with the </w:t>
      </w:r>
      <w:r>
        <w:rPr>
          <w:b/>
          <w:i w:val="0"/>
          <w:smallCaps w:val="0"/>
          <w:strike w:val="0"/>
          <w:sz w:val="22"/>
          <w:u w:val="single"/>
        </w:rPr>
        <w:t>inherent pressures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reduce time taken in the analysis of each application – might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affect the quality of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are being granted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(by increasing the grant of “weak” or “doubtful” patents, given the tendency, e.g., to overlook relevant documents in the state of the art due to the time constraints) [8,9].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Worldwide patent applications per year are </w:t>
      </w:r>
      <w:r>
        <w:rPr>
          <w:b/>
          <w:i w:val="0"/>
          <w:smallCaps w:val="0"/>
          <w:strike w:val="0"/>
          <w:sz w:val="22"/>
          <w:u w:val="single"/>
        </w:rPr>
        <w:t xml:space="preserve">rising steadily at a </w:t>
      </w:r>
      <w:r>
        <w:rPr>
          <w:b/>
          <w:i w:val="0"/>
          <w:smallCaps w:val="0"/>
          <w:strike w:val="0"/>
          <w:sz w:val="22"/>
          <w:u w:val="single"/>
        </w:rPr>
        <w:t>∼</w:t>
      </w:r>
      <w:r>
        <w:rPr>
          <w:b/>
          <w:i w:val="0"/>
          <w:smallCaps w:val="0"/>
          <w:strike w:val="0"/>
          <w:sz w:val="22"/>
          <w:u w:val="single"/>
        </w:rPr>
        <w:t xml:space="preserve">6% rate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(with the notable exception of 2009, with a decrease of </w:t>
      </w:r>
      <w:r>
        <w:rPr>
          <w:b w:val="0"/>
          <w:i w:val="0"/>
          <w:smallCaps w:val="0"/>
          <w:strike w:val="0"/>
          <w:sz w:val="16"/>
          <w:u w:val="none"/>
        </w:rPr>
        <w:t>∼</w:t>
      </w:r>
      <w:r>
        <w:rPr>
          <w:b w:val="0"/>
          <w:i w:val="0"/>
          <w:smallCaps w:val="0"/>
          <w:strike w:val="0"/>
          <w:sz w:val="16"/>
          <w:u w:val="none"/>
        </w:rPr>
        <w:t>4% due to financial crisis</w:t>
      </w:r>
      <w:r>
        <w:rPr>
          <w:b w:val="0"/>
          <w:i w:val="0"/>
          <w:smallCaps w:val="0"/>
          <w:strike w:val="0"/>
          <w:sz w:val="16"/>
          <w:u w:val="none"/>
        </w:rPr>
        <w:t>),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have reached 3.3 million in 2018; in Brazil, the number of pending applications has dropped slightly, but still amounts to </w:t>
      </w:r>
      <w:r>
        <w:rPr>
          <w:b w:val="0"/>
          <w:i w:val="0"/>
          <w:smallCaps w:val="0"/>
          <w:strike w:val="0"/>
          <w:sz w:val="16"/>
          <w:u w:val="none"/>
        </w:rPr>
        <w:t>∼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200k applications [9]. As of 2018, the Brazilian Patent and Trademark Office (Instituto Nacional da </w:t>
      </w:r>
      <w:r>
        <w:rPr>
          <w:b w:val="0"/>
          <w:i w:val="0"/>
          <w:smallCaps w:val="0"/>
          <w:strike w:val="0"/>
          <w:sz w:val="16"/>
          <w:u w:val="none"/>
        </w:rPr>
        <w:t>Propriedade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Industrial – INPI-BR) employed 323 patent examiners, with an average experience of 12.6 years, and which were responsible for almost 10k granted patents (a marked </w:t>
      </w:r>
      <w:r>
        <w:rPr>
          <w:b w:val="0"/>
          <w:i w:val="0"/>
          <w:smallCaps w:val="0"/>
          <w:strike w:val="0"/>
          <w:sz w:val="16"/>
          <w:u w:val="none"/>
        </w:rPr>
        <w:t>∼</w:t>
      </w:r>
      <w:r>
        <w:rPr>
          <w:b w:val="0"/>
          <w:i w:val="0"/>
          <w:smallCaps w:val="0"/>
          <w:strike w:val="0"/>
          <w:sz w:val="16"/>
          <w:u w:val="none"/>
        </w:rPr>
        <w:t>80% increase from 2017) [10].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