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Congress </w:t>
      </w:r>
      <w:r>
        <w:rPr>
          <w:b/>
          <w:i w:val="0"/>
          <w:smallCaps w:val="0"/>
          <w:strike w:val="0"/>
          <w:sz w:val="26"/>
          <w:u w:val="single"/>
        </w:rPr>
        <w:t>solves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Marin K. </w:t>
      </w:r>
      <w:r>
        <w:rPr>
          <w:b/>
          <w:i w:val="0"/>
          <w:smallCaps w:val="0"/>
          <w:strike w:val="0"/>
          <w:sz w:val="26"/>
          <w:u w:val="none"/>
        </w:rPr>
        <w:t>Levy 13</w:t>
      </w:r>
      <w:r>
        <w:rPr>
          <w:b w:val="0"/>
          <w:i w:val="0"/>
          <w:smallCaps w:val="0"/>
          <w:strike w:val="0"/>
          <w:u w:val="none"/>
        </w:rPr>
        <w:t>, Professor of Law at Duke, 2013, “Judging the Flood of Litigation,” University of Chicago Law Review, Vol. 80, pp. 1007-1077, https://scholarship.law.duke.edu/faculty_scholarship/2854/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Now, it is important to </w:t>
      </w:r>
      <w:r>
        <w:rPr>
          <w:b w:val="0"/>
          <w:i w:val="0"/>
          <w:smallCaps w:val="0"/>
          <w:strike w:val="0"/>
          <w:sz w:val="22"/>
          <w:u w:val="single"/>
        </w:rPr>
        <w:t>recognize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counseling Courts against considering caseload volume in this kind of decision making does not mean that </w:t>
      </w:r>
      <w:r>
        <w:rPr>
          <w:b w:val="0"/>
          <w:i w:val="0"/>
          <w:smallCaps w:val="0"/>
          <w:strike w:val="0"/>
          <w:sz w:val="22"/>
          <w:u w:val="single"/>
        </w:rPr>
        <w:t>there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recourse when it comes to </w:t>
      </w:r>
      <w:r>
        <w:rPr>
          <w:b/>
          <w:i w:val="0"/>
          <w:smallCaps w:val="0"/>
          <w:strike w:val="0"/>
          <w:sz w:val="22"/>
          <w:u w:val="single"/>
        </w:rPr>
        <w:t>docket concerns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Our system provides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several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ways to relieve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caseload pressure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short of the courts not recognizing causes of action or deciding not to hear </w:t>
      </w:r>
      <w:r>
        <w:rPr>
          <w:b w:val="0"/>
          <w:i w:val="0"/>
          <w:smallCaps w:val="0"/>
          <w:strike w:val="0"/>
          <w:sz w:val="16"/>
          <w:u w:val="none"/>
        </w:rPr>
        <w:t>particular sets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cases. Specifically,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our constitution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al system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gives Congress the authority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adjust </w:t>
      </w:r>
      <w:r>
        <w:rPr>
          <w:b/>
          <w:i w:val="0"/>
          <w:smallCaps w:val="0"/>
          <w:strike w:val="0"/>
          <w:sz w:val="22"/>
          <w:u w:val="single"/>
        </w:rPr>
        <w:t>laws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so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stem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flow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.305 And </w:t>
      </w:r>
      <w:r>
        <w:rPr>
          <w:b w:val="0"/>
          <w:i w:val="0"/>
          <w:smallCaps w:val="0"/>
          <w:strike w:val="0"/>
          <w:sz w:val="22"/>
          <w:u w:val="single"/>
        </w:rPr>
        <w:t>Congress 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indeed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exercised </w:t>
      </w:r>
      <w:r>
        <w:rPr>
          <w:b/>
          <w:i w:val="0"/>
          <w:smallCaps w:val="0"/>
          <w:strike w:val="0"/>
          <w:sz w:val="22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noted earlier,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 passed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Supreme Court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Case Selections Act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306 </w:t>
      </w:r>
      <w:r>
        <w:rPr>
          <w:b w:val="0"/>
          <w:i w:val="0"/>
          <w:smallCaps w:val="0"/>
          <w:strike w:val="0"/>
          <w:sz w:val="22"/>
          <w:u w:val="single"/>
        </w:rPr>
        <w:t>to alleviate the Court’s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then </w:t>
      </w:r>
      <w:r>
        <w:rPr>
          <w:b w:val="0"/>
          <w:i w:val="0"/>
          <w:smallCaps w:val="0"/>
          <w:strike w:val="0"/>
          <w:sz w:val="22"/>
          <w:u w:val="single"/>
        </w:rPr>
        <w:t>“unmanageable workload”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eliminating most of the Court’s mandatory jurisdiction.307 </w:t>
      </w:r>
      <w:r>
        <w:rPr>
          <w:b w:val="0"/>
          <w:i w:val="0"/>
          <w:smallCaps w:val="0"/>
          <w:strike w:val="0"/>
          <w:sz w:val="22"/>
          <w:u w:val="single"/>
        </w:rPr>
        <w:t>With respect to the rest of the federal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court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docket,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repeatedly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enacted targeted legislation to reduce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frivolous filings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example,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Congress passed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PLRA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precisely as a way of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addressing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flood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prisoner litigation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federal courts.”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308 Similarly,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part of the purpose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Private Securities Litigation Reform Act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1995309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was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limit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frivolous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securities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claims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.310 This is not to suggest that Congress could not do more in this vein; rather the point is simply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branch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government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has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clear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authority to take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courts’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caseload into account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substantive decision making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has done so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repeatedly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past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