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“Resolved” followed by a </w:t>
      </w:r>
      <w:r>
        <w:rPr>
          <w:b/>
          <w:i w:val="0"/>
          <w:smallCaps w:val="0"/>
          <w:strike w:val="0"/>
          <w:sz w:val="26"/>
          <w:u w:val="none"/>
        </w:rPr>
        <w:t>colon</w:t>
      </w:r>
      <w:r>
        <w:rPr>
          <w:b/>
          <w:i w:val="0"/>
          <w:smallCaps w:val="0"/>
          <w:strike w:val="0"/>
          <w:sz w:val="26"/>
          <w:u w:val="none"/>
        </w:rPr>
        <w:t xml:space="preserve"> indicates</w:t>
      </w:r>
      <w:r>
        <w:rPr>
          <w:b/>
          <w:i w:val="0"/>
          <w:smallCaps w:val="0"/>
          <w:strike w:val="0"/>
          <w:sz w:val="26"/>
          <w:u w:val="none"/>
        </w:rPr>
        <w:t xml:space="preserve"> a resolution for high school policy debates from which affirmative</w:t>
      </w:r>
      <w:r>
        <w:rPr>
          <w:b/>
          <w:i w:val="0"/>
          <w:smallCaps w:val="0"/>
          <w:strike w:val="0"/>
          <w:sz w:val="26"/>
          <w:u w:val="none"/>
        </w:rPr>
        <w:t>s can be constructed around</w:t>
      </w:r>
    </w:p>
    <w:p>
      <w:pPr>
        <w:spacing w:after="80"/>
      </w:pPr>
      <w:r>
        <w:rPr>
          <w:b/>
          <w:i w:val="0"/>
          <w:smallCaps w:val="0"/>
          <w:strike w:val="0"/>
          <w:sz w:val="26"/>
          <w:u w:val="none"/>
        </w:rPr>
        <w:t>Litan</w:t>
      </w:r>
      <w:r>
        <w:rPr>
          <w:b/>
          <w:i w:val="0"/>
          <w:smallCaps w:val="0"/>
          <w:strike w:val="0"/>
          <w:sz w:val="26"/>
          <w:u w:val="none"/>
        </w:rPr>
        <w:t xml:space="preserve"> 20</w:t>
      </w:r>
      <w:r>
        <w:rPr>
          <w:b w:val="0"/>
          <w:i w:val="0"/>
          <w:smallCaps w:val="0"/>
          <w:strike w:val="0"/>
          <w:u w:val="none"/>
        </w:rPr>
        <w:t xml:space="preserve"> </w:t>
      </w:r>
      <w:r>
        <w:rPr>
          <w:b w:val="0"/>
          <w:i w:val="0"/>
          <w:smallCaps w:val="0"/>
          <w:strike w:val="0"/>
          <w:sz w:val="16"/>
          <w:u w:val="none"/>
        </w:rPr>
        <w:t>[</w:t>
      </w:r>
      <w:r>
        <w:rPr>
          <w:b w:val="0"/>
          <w:i w:val="0"/>
          <w:smallCaps w:val="0"/>
          <w:strike w:val="0"/>
          <w:sz w:val="16"/>
          <w:u w:val="none"/>
        </w:rPr>
        <w:t xml:space="preserve">Robert </w:t>
      </w:r>
      <w:r>
        <w:rPr>
          <w:b w:val="0"/>
          <w:i w:val="0"/>
          <w:smallCaps w:val="0"/>
          <w:strike w:val="0"/>
          <w:sz w:val="16"/>
          <w:u w:val="none"/>
        </w:rPr>
        <w:t>Litan</w:t>
      </w:r>
      <w:r>
        <w:rPr>
          <w:b w:val="0"/>
          <w:i w:val="0"/>
          <w:smallCaps w:val="0"/>
          <w:strike w:val="0"/>
          <w:sz w:val="16"/>
          <w:u w:val="none"/>
        </w:rPr>
        <w:t xml:space="preserve">, </w:t>
      </w:r>
      <w:r>
        <w:rPr>
          <w:b w:val="0"/>
          <w:i w:val="0"/>
          <w:smallCaps w:val="0"/>
          <w:strike w:val="0"/>
          <w:sz w:val="16"/>
          <w:u w:val="none"/>
        </w:rPr>
        <w:t xml:space="preserve">senior fellow at the Brookings Institution, where he has previously been a senior fellow on staff, and vice president and director of Economic Studies, </w:t>
      </w:r>
      <w:r>
        <w:rPr>
          <w:b w:val="0"/>
          <w:i w:val="0"/>
          <w:smallCaps w:val="0"/>
          <w:strike w:val="0"/>
          <w:sz w:val="16"/>
          <w:u w:val="none"/>
        </w:rPr>
        <w:t xml:space="preserve">Brookings Institution Press, 2020, </w:t>
      </w:r>
      <w:r>
        <w:rPr>
          <w:b w:val="0"/>
          <w:i w:val="0"/>
          <w:smallCaps w:val="0"/>
          <w:strike w:val="0"/>
          <w:sz w:val="16"/>
          <w:u w:val="none"/>
        </w:rPr>
        <w:t>“Resolved: Debate Can Revolutionize Education and Help Save Our Democracy”,</w:t>
      </w:r>
      <w:r>
        <w:rPr>
          <w:b w:val="0"/>
          <w:i w:val="0"/>
          <w:smallCaps w:val="0"/>
          <w:strike w:val="0"/>
          <w:sz w:val="16"/>
          <w:u w:val="none"/>
        </w:rPr>
        <w:t xml:space="preserve"> pg. 24,</w:t>
      </w:r>
      <w:r>
        <w:rPr>
          <w:b w:val="0"/>
          <w:i w:val="0"/>
          <w:smallCaps w:val="0"/>
          <w:strike w:val="0"/>
          <w:sz w:val="16"/>
          <w:u w:val="none"/>
        </w:rPr>
        <w:t xml:space="preserve"> //</w:t>
      </w:r>
      <w:r>
        <w:rPr>
          <w:b w:val="0"/>
          <w:i w:val="0"/>
          <w:smallCaps w:val="0"/>
          <w:strike w:val="0"/>
          <w:sz w:val="16"/>
          <w:u w:val="none"/>
        </w:rPr>
        <w:t>zrubin</w:t>
      </w:r>
      <w:r>
        <w:rPr>
          <w:b w:val="0"/>
          <w:i w:val="0"/>
          <w:smallCaps w:val="0"/>
          <w:strike w:val="0"/>
          <w:sz w:val="16"/>
          <w:u w:val="none"/>
        </w:rPr>
        <w:t>]</w:t>
      </w:r>
    </w:p>
    <w:p>
      <w:pPr>
        <w:spacing w:after="60"/>
      </w:pPr>
      <w:r>
        <w:rPr>
          <w:b w:val="0"/>
          <w:i w:val="0"/>
          <w:smallCaps w:val="0"/>
          <w:strike w:val="0"/>
          <w:highlight w:val="cyan"/>
          <w:u w:val="single"/>
        </w:rPr>
        <w:t>The national high school policy debate topic</w:t>
      </w:r>
      <w:r>
        <w:rPr>
          <w:b w:val="0"/>
          <w:i w:val="0"/>
          <w:smallCaps w:val="0"/>
          <w:strike w:val="0"/>
          <w:u w:val="none"/>
        </w:rPr>
        <w:t xml:space="preserve"> </w:t>
      </w:r>
      <w:r>
        <w:rPr>
          <w:b w:val="0"/>
          <w:i w:val="0"/>
          <w:smallCaps w:val="0"/>
          <w:strike w:val="0"/>
          <w:sz w:val="14"/>
          <w:u w:val="none"/>
        </w:rPr>
        <w:t>for the academic year 2018–2019 could not have been timelier, given the sharp disputes about and lack of a national consensus on what course to take with respect to immigration:</w:t>
      </w:r>
      <w:r>
        <w:rPr>
          <w:b w:val="0"/>
          <w:i w:val="0"/>
          <w:smallCaps w:val="0"/>
          <w:strike w:val="0"/>
          <w:u w:val="none"/>
        </w:rPr>
        <w:t xml:space="preserve"> </w:t>
      </w:r>
      <w:r>
        <w:rPr>
          <w:b w:val="0"/>
          <w:i w:val="0"/>
          <w:smallCaps w:val="0"/>
          <w:strike w:val="0"/>
          <w:u w:val="single"/>
        </w:rPr>
        <w:t>“</w:t>
      </w:r>
      <w:r>
        <w:rPr>
          <w:b/>
          <w:i w:val="0"/>
          <w:smallCaps w:val="0"/>
          <w:strike w:val="0"/>
          <w:highlight w:val="cyan"/>
          <w:u w:val="single"/>
        </w:rPr>
        <w:t>Resolved:</w:t>
      </w:r>
      <w:r>
        <w:rPr>
          <w:b w:val="0"/>
          <w:i w:val="0"/>
          <w:smallCaps w:val="0"/>
          <w:strike w:val="0"/>
          <w:u w:val="none"/>
        </w:rPr>
        <w:t xml:space="preserve"> </w:t>
      </w:r>
      <w:r>
        <w:rPr>
          <w:b w:val="0"/>
          <w:i w:val="0"/>
          <w:smallCaps w:val="0"/>
          <w:strike w:val="0"/>
          <w:sz w:val="14"/>
          <w:u w:val="none"/>
        </w:rPr>
        <w:t>The United States federal government should substantially reduce its restrictions on legal immigration to the United States.”</w:t>
      </w:r>
      <w:r>
        <w:rPr>
          <w:b w:val="0"/>
          <w:i w:val="0"/>
          <w:smallCaps w:val="0"/>
          <w:strike w:val="0"/>
          <w:u w:val="none"/>
        </w:rPr>
        <w:t xml:space="preserve"> </w:t>
      </w:r>
      <w:r>
        <w:rPr>
          <w:b w:val="0"/>
          <w:i w:val="0"/>
          <w:smallCaps w:val="0"/>
          <w:strike w:val="0"/>
          <w:u w:val="single"/>
        </w:rPr>
        <w:t xml:space="preserve">A variety of </w:t>
      </w:r>
      <w:r>
        <w:rPr>
          <w:b w:val="0"/>
          <w:i w:val="0"/>
          <w:smallCaps w:val="0"/>
          <w:strike w:val="0"/>
          <w:highlight w:val="cyan"/>
          <w:u w:val="single"/>
        </w:rPr>
        <w:t xml:space="preserve">affirmative “cases” can be constructed around this </w:t>
      </w:r>
      <w:r>
        <w:rPr>
          <w:b/>
          <w:i w:val="0"/>
          <w:smallCaps w:val="0"/>
          <w:strike w:val="0"/>
          <w:highlight w:val="cyan"/>
          <w:u w:val="single"/>
        </w:rPr>
        <w:t>resolution</w:t>
      </w:r>
      <w:r>
        <w:rPr>
          <w:b w:val="0"/>
          <w:i w:val="0"/>
          <w:smallCaps w:val="0"/>
          <w:strike w:val="0"/>
          <w:u w:val="none"/>
        </w:rPr>
        <w:t xml:space="preserve">, </w:t>
      </w:r>
      <w:r>
        <w:rPr>
          <w:b w:val="0"/>
          <w:i w:val="0"/>
          <w:smallCaps w:val="0"/>
          <w:strike w:val="0"/>
          <w:sz w:val="14"/>
          <w:u w:val="none"/>
        </w:rPr>
        <w:t>ranging from a broad-based case in favor of loosening overall national immigration quotas to narrower cases focusing on specific types of immigrants, such as college or graduate students (especially those earning degrees in STEM subjects) or entrepreneurs (my personal favorite), or refugees.</w:t>
      </w:r>
    </w:p>
    <w:p>
      <w:pPr>
        <w:pStyle w:val="Caption"/>
      </w:pPr>
      <w:r>
        <w:t>Source: Topicality Supplement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