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The colon introduces an enumeration for the previous words and excludes all but what follows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Siddoway 13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[A.C.J. Siddoway, Judge for the US Court of Appeals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for Washington</w:t>
      </w:r>
      <w:r>
        <w:rPr>
          <w:b w:val="0"/>
          <w:i w:val="0"/>
          <w:smallCaps w:val="0"/>
          <w:strike w:val="0"/>
          <w:sz w:val="16"/>
          <w:u w:val="none"/>
        </w:rPr>
        <w:t>, 2013, “STATE OF WASHINGTON, DEPARTMENT OF LABOR AND INDUSTRIES, Respondent, v. DONALD M. SLAUGH, Appellant, LOCKHEED MARTIN HANFORD CORPORATION, Respondent.”, No. 31081-7-III., Court of Appeals of Washington, Division Three, //</w:t>
      </w:r>
      <w:r>
        <w:rPr>
          <w:b w:val="0"/>
          <w:i w:val="0"/>
          <w:smallCaps w:val="0"/>
          <w:strike w:val="0"/>
          <w:sz w:val="16"/>
          <w:u w:val="none"/>
        </w:rPr>
        <w:t>zrubin</w:t>
      </w:r>
      <w:r>
        <w:rPr>
          <w:b w:val="0"/>
          <w:i w:val="0"/>
          <w:smallCaps w:val="0"/>
          <w:strike w:val="0"/>
          <w:sz w:val="16"/>
          <w:u w:val="none"/>
        </w:rPr>
        <w:t>]</w:t>
      </w:r>
    </w:p>
    <w:p>
      <w:pPr>
        <w:spacing w:after="60"/>
      </w:pPr>
      <w:r>
        <w:rPr>
          <w:b w:val="0"/>
          <w:i w:val="0"/>
          <w:smallCaps w:val="0"/>
          <w:strike w:val="0"/>
          <w:u w:val="single"/>
        </w:rPr>
        <w:t>"</w:t>
      </w:r>
      <w:r>
        <w:rPr>
          <w:b w:val="0"/>
          <w:i w:val="0"/>
          <w:smallCaps w:val="0"/>
          <w:strike w:val="0"/>
          <w:highlight w:val="cyan"/>
          <w:u w:val="single"/>
        </w:rPr>
        <w:t xml:space="preserve">A </w:t>
      </w:r>
      <w:r>
        <w:rPr>
          <w:b/>
          <w:i w:val="0"/>
          <w:smallCaps w:val="0"/>
          <w:strike w:val="0"/>
          <w:highlight w:val="cyan"/>
          <w:u w:val="single"/>
        </w:rPr>
        <w:t>colon</w:t>
      </w:r>
      <w:r>
        <w:rPr>
          <w:b w:val="0"/>
          <w:i w:val="0"/>
          <w:smallCaps w:val="0"/>
          <w:strike w:val="0"/>
          <w:u w:val="single"/>
        </w:rPr>
        <w:t xml:space="preserve"> may </w:t>
      </w:r>
      <w:r>
        <w:rPr>
          <w:b w:val="0"/>
          <w:i w:val="0"/>
          <w:smallCaps w:val="0"/>
          <w:strike w:val="0"/>
          <w:highlight w:val="cyan"/>
          <w:u w:val="single"/>
        </w:rPr>
        <w:t>introduce a</w:t>
      </w:r>
      <w:r>
        <w:rPr>
          <w:b w:val="0"/>
          <w:i w:val="0"/>
          <w:smallCaps w:val="0"/>
          <w:strike w:val="0"/>
          <w:u w:val="single"/>
        </w:rPr>
        <w:t xml:space="preserve"> summing up, an illustration, </w:t>
      </w:r>
      <w:r>
        <w:rPr>
          <w:b w:val="0"/>
          <w:i w:val="0"/>
          <w:smallCaps w:val="0"/>
          <w:strike w:val="0"/>
          <w:highlight w:val="cyan"/>
          <w:u w:val="single"/>
        </w:rPr>
        <w:t xml:space="preserve">quotation, or </w:t>
      </w:r>
      <w:r>
        <w:rPr>
          <w:b/>
          <w:i w:val="0"/>
          <w:smallCaps w:val="0"/>
          <w:strike w:val="0"/>
          <w:highlight w:val="cyan"/>
          <w:u w:val="single"/>
        </w:rPr>
        <w:t>enumeration</w:t>
      </w:r>
      <w:r>
        <w:rPr>
          <w:b w:val="0"/>
          <w:i w:val="0"/>
          <w:smallCaps w:val="0"/>
          <w:strike w:val="0"/>
          <w:u w:val="single"/>
        </w:rPr>
        <w:t xml:space="preserve">, </w:t>
      </w:r>
      <w:r>
        <w:rPr>
          <w:b w:val="0"/>
          <w:i w:val="0"/>
          <w:smallCaps w:val="0"/>
          <w:strike w:val="0"/>
          <w:highlight w:val="cyan"/>
          <w:u w:val="single"/>
        </w:rPr>
        <w:t xml:space="preserve">for which the </w:t>
      </w:r>
      <w:r>
        <w:rPr>
          <w:b/>
          <w:i w:val="0"/>
          <w:smallCaps w:val="0"/>
          <w:strike w:val="0"/>
          <w:highlight w:val="cyan"/>
          <w:u w:val="single"/>
        </w:rPr>
        <w:t>previous words</w:t>
      </w:r>
      <w:r>
        <w:rPr>
          <w:b w:val="0"/>
          <w:i w:val="0"/>
          <w:smallCaps w:val="0"/>
          <w:strike w:val="0"/>
          <w:u w:val="single"/>
        </w:rPr>
        <w:t xml:space="preserve"> in the sentence </w:t>
      </w:r>
      <w:r>
        <w:rPr>
          <w:b w:val="0"/>
          <w:i w:val="0"/>
          <w:smallCaps w:val="0"/>
          <w:strike w:val="0"/>
          <w:highlight w:val="cyan"/>
          <w:u w:val="single"/>
        </w:rPr>
        <w:t>have prepared the reader</w:t>
      </w:r>
      <w:r>
        <w:rPr>
          <w:b w:val="0"/>
          <w:i w:val="0"/>
          <w:smallCaps w:val="0"/>
          <w:strike w:val="0"/>
          <w:u w:val="single"/>
        </w:rPr>
        <w:t>."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sz w:val="14"/>
          <w:u w:val="none"/>
        </w:rPr>
        <w:t>HUTCHINSON, supra, at 241. In Stuart v. East Valley Consolidated School District No. 361, 61 Wn.2d 571, 575, 379 P.2d 369 (1963),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u w:val="single"/>
        </w:rPr>
        <w:t xml:space="preserve">the court differentiated </w:t>
      </w:r>
      <w:r>
        <w:rPr>
          <w:b w:val="0"/>
          <w:i w:val="0"/>
          <w:smallCaps w:val="0"/>
          <w:strike w:val="0"/>
          <w:highlight w:val="cyan"/>
          <w:u w:val="single"/>
        </w:rPr>
        <w:t>the use of a colon</w:t>
      </w:r>
      <w:r>
        <w:rPr>
          <w:b w:val="0"/>
          <w:i w:val="0"/>
          <w:smallCaps w:val="0"/>
          <w:strike w:val="0"/>
          <w:u w:val="single"/>
        </w:rPr>
        <w:t xml:space="preserve">, </w:t>
      </w:r>
      <w:r>
        <w:rPr>
          <w:b w:val="0"/>
          <w:i w:val="0"/>
          <w:smallCaps w:val="0"/>
          <w:strike w:val="0"/>
          <w:highlight w:val="cyan"/>
          <w:u w:val="single"/>
        </w:rPr>
        <w:t>which</w:t>
      </w:r>
      <w:r>
        <w:rPr>
          <w:b w:val="0"/>
          <w:i w:val="0"/>
          <w:smallCaps w:val="0"/>
          <w:strike w:val="0"/>
          <w:u w:val="single"/>
        </w:rPr>
        <w:t xml:space="preserve"> one could contend </w:t>
      </w:r>
      <w:r>
        <w:rPr>
          <w:b w:val="0"/>
          <w:i w:val="0"/>
          <w:smallCaps w:val="0"/>
          <w:strike w:val="0"/>
          <w:highlight w:val="cyan"/>
          <w:u w:val="single"/>
        </w:rPr>
        <w:t xml:space="preserve">introduced matter that was </w:t>
      </w:r>
      <w:r>
        <w:rPr>
          <w:b/>
          <w:i w:val="0"/>
          <w:smallCaps w:val="0"/>
          <w:strike w:val="0"/>
          <w:highlight w:val="cyan"/>
          <w:u w:val="single"/>
        </w:rPr>
        <w:t>explanatory</w:t>
      </w:r>
      <w:r>
        <w:rPr>
          <w:b w:val="0"/>
          <w:i w:val="0"/>
          <w:smallCaps w:val="0"/>
          <w:strike w:val="0"/>
          <w:highlight w:val="cyan"/>
          <w:u w:val="single"/>
        </w:rPr>
        <w:t xml:space="preserve"> of the phrase that </w:t>
      </w:r>
      <w:r>
        <w:rPr>
          <w:b/>
          <w:i w:val="0"/>
          <w:smallCaps w:val="0"/>
          <w:strike w:val="0"/>
          <w:highlight w:val="cyan"/>
          <w:u w:val="single"/>
        </w:rPr>
        <w:t>preceded it</w:t>
      </w:r>
      <w:r>
        <w:rPr>
          <w:b w:val="0"/>
          <w:i w:val="0"/>
          <w:smallCaps w:val="0"/>
          <w:strike w:val="0"/>
          <w:highlight w:val="cyan"/>
          <w:u w:val="single"/>
        </w:rPr>
        <w:t xml:space="preserve"> and therefore </w:t>
      </w:r>
      <w:r>
        <w:rPr>
          <w:b/>
          <w:i w:val="0"/>
          <w:smallCaps w:val="0"/>
          <w:strike w:val="0"/>
          <w:highlight w:val="cyan"/>
          <w:u w:val="single"/>
        </w:rPr>
        <w:t>restrictive</w:t>
      </w:r>
      <w:r>
        <w:rPr>
          <w:b w:val="0"/>
          <w:i w:val="0"/>
          <w:smallCaps w:val="0"/>
          <w:strike w:val="0"/>
          <w:u w:val="single"/>
        </w:rPr>
        <w:t>,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sz w:val="14"/>
          <w:u w:val="none"/>
        </w:rPr>
        <w:t>from the use of a semicolon, indicating that matter that follows is not restrictive, but supplementary.</w:t>
      </w:r>
      <w:r>
        <w:rPr>
          <w:b w:val="0"/>
          <w:i w:val="0"/>
          <w:smallCaps w:val="0"/>
          <w:strike w:val="0"/>
          <w:u w:val="none"/>
        </w:rPr>
        <w:t xml:space="preserve"> </w:t>
      </w:r>
    </w:p>
    <w:p>
      <w:pPr>
        <w:pStyle w:val="Caption"/>
      </w:pPr>
      <w:r>
        <w:t>Source: Topicality Supplement - Michigan 2024 HHIRS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