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A colon indicates a list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Ransom 22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[</w:t>
      </w:r>
      <w:r>
        <w:rPr>
          <w:b w:val="0"/>
          <w:i w:val="0"/>
          <w:smallCaps w:val="0"/>
          <w:strike w:val="0"/>
          <w:sz w:val="16"/>
          <w:u w:val="none"/>
        </w:rPr>
        <w:t xml:space="preserve">Robin Ransom,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American lawyer who serves as a judge of the Supreme Court of Missouri, “STATE of Missouri, Respondent, v. Shawn W. YOUNT, Appellant.”, No. SC 99317., Supreme Court of Missouri, </w:t>
      </w:r>
      <w:r>
        <w:rPr>
          <w:b w:val="0"/>
          <w:i w:val="0"/>
          <w:smallCaps w:val="0"/>
          <w:strike w:val="0"/>
          <w:sz w:val="16"/>
          <w:u w:val="none"/>
        </w:rPr>
        <w:t>en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banc, Opinion issued April 5, 2022, //</w:t>
      </w:r>
      <w:r>
        <w:rPr>
          <w:b w:val="0"/>
          <w:i w:val="0"/>
          <w:smallCaps w:val="0"/>
          <w:strike w:val="0"/>
          <w:sz w:val="16"/>
          <w:u w:val="none"/>
        </w:rPr>
        <w:t>zrubin</w:t>
      </w:r>
      <w:r>
        <w:rPr>
          <w:b w:val="0"/>
          <w:i w:val="0"/>
          <w:smallCaps w:val="0"/>
          <w:strike w:val="0"/>
          <w:sz w:val="16"/>
          <w:u w:val="none"/>
        </w:rPr>
        <w:t>]</w:t>
      </w:r>
    </w:p>
    <w:p>
      <w:pPr>
        <w:spacing w:after="60"/>
      </w:pPr>
      <w:r>
        <w:rPr>
          <w:b w:val="0"/>
          <w:i w:val="0"/>
          <w:smallCaps w:val="0"/>
          <w:strike w:val="0"/>
          <w:u w:val="single"/>
        </w:rPr>
        <w:t>Yet the legislature's use and placement of the colon are critical to assessing the statute's plain meaning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4"/>
          <w:u w:val="none"/>
        </w:rPr>
        <w:t>and informs the meaning attributed to "and" in this statute.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 xml:space="preserve">The grammatical structure of the statute </w:t>
      </w:r>
      <w:r>
        <w:rPr>
          <w:b w:val="0"/>
          <w:i w:val="0"/>
          <w:smallCaps w:val="0"/>
          <w:strike w:val="0"/>
          <w:highlight w:val="cyan"/>
          <w:u w:val="single"/>
        </w:rPr>
        <w:t>using a colon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4"/>
          <w:u w:val="none"/>
        </w:rPr>
        <w:t>after "one who"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indicates a list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4"/>
          <w:u w:val="none"/>
        </w:rPr>
        <w:t>from which the legislature intended to identify two categories of defendants who may qualify as dangerous offenders: (1) offenders whose present offense is a dangerous offense, and (2) offenders whose prior offense was a dangerous offense. Hence, the state has two options from which to choose when pleading and proving dangerous offenders under the statute</w:t>
      </w:r>
      <w:r>
        <w:rPr>
          <w:b w:val="0"/>
          <w:i w:val="0"/>
          <w:smallCaps w:val="0"/>
          <w:strike w:val="0"/>
          <w:sz w:val="14"/>
          <w:u w:val="none"/>
        </w:rPr>
        <w:t>.</w:t>
      </w:r>
    </w:p>
    <w:p>
      <w:pPr>
        <w:pStyle w:val="Caption"/>
      </w:pPr>
      <w:r>
        <w:t>Source: Topicality Supplement - Michigan 2024 HHIRS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