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Legally, the United States is a singular person </w:t>
      </w:r>
    </w:p>
    <w:p>
      <w:pPr>
        <w:spacing w:after="80"/>
      </w:pPr>
      <w:r>
        <w:rPr>
          <w:b/>
          <w:i w:val="0"/>
          <w:smallCaps w:val="0"/>
          <w:strike w:val="0"/>
          <w:sz w:val="26"/>
          <w:u w:val="none"/>
        </w:rPr>
        <w:t>Herz 91</w:t>
      </w:r>
      <w:r>
        <w:rPr>
          <w:b w:val="0"/>
          <w:i w:val="0"/>
          <w:smallCaps w:val="0"/>
          <w:strike w:val="0"/>
          <w:u w:val="none"/>
        </w:rPr>
        <w:t xml:space="preserve"> </w:t>
      </w:r>
      <w:r>
        <w:rPr>
          <w:b w:val="0"/>
          <w:i w:val="0"/>
          <w:smallCaps w:val="0"/>
          <w:strike w:val="0"/>
          <w:sz w:val="16"/>
          <w:u w:val="none"/>
        </w:rPr>
        <w:t>[Michael Herz,</w:t>
      </w:r>
      <w:r>
        <w:rPr>
          <w:b w:val="0"/>
          <w:i w:val="0"/>
          <w:smallCaps w:val="0"/>
          <w:strike w:val="0"/>
          <w:sz w:val="16"/>
          <w:u w:val="none"/>
        </w:rPr>
        <w:t xml:space="preserve"> Assistant Professor, Benjamin N. Cardozo School of Law, Yeshiva University. B.A., Swarthmore College, 1979; J.D., University of Chicago Law School, 1982</w:t>
      </w:r>
      <w:r>
        <w:rPr>
          <w:b w:val="0"/>
          <w:i w:val="0"/>
          <w:smallCaps w:val="0"/>
          <w:strike w:val="0"/>
          <w:sz w:val="16"/>
          <w:u w:val="none"/>
        </w:rPr>
        <w:t>,</w:t>
      </w:r>
      <w:r>
        <w:rPr>
          <w:b w:val="0"/>
          <w:i w:val="0"/>
          <w:smallCaps w:val="0"/>
          <w:strike w:val="0"/>
          <w:sz w:val="16"/>
          <w:u w:val="none"/>
        </w:rPr>
        <w:t xml:space="preserve"> April 1991,</w:t>
      </w:r>
      <w:r>
        <w:rPr>
          <w:b w:val="0"/>
          <w:i w:val="0"/>
          <w:smallCaps w:val="0"/>
          <w:strike w:val="0"/>
          <w:sz w:val="16"/>
          <w:u w:val="none"/>
        </w:rPr>
        <w:t xml:space="preserve"> </w:t>
      </w:r>
      <w:r>
        <w:rPr>
          <w:b w:val="0"/>
          <w:i/>
          <w:smallCaps w:val="0"/>
          <w:strike w:val="0"/>
          <w:sz w:val="16"/>
          <w:u w:val="none"/>
        </w:rPr>
        <w:t>William &amp; Mary Law Review</w:t>
      </w:r>
      <w:r>
        <w:rPr>
          <w:b w:val="0"/>
          <w:i w:val="0"/>
          <w:smallCaps w:val="0"/>
          <w:strike w:val="0"/>
          <w:sz w:val="16"/>
          <w:u w:val="none"/>
        </w:rPr>
        <w:t>,</w:t>
      </w:r>
      <w:r>
        <w:rPr>
          <w:b w:val="0"/>
          <w:i w:val="0"/>
          <w:smallCaps w:val="0"/>
          <w:strike w:val="0"/>
          <w:sz w:val="16"/>
          <w:u w:val="none"/>
        </w:rPr>
        <w:t xml:space="preserve"> </w:t>
      </w:r>
      <w:r>
        <w:rPr>
          <w:b w:val="0"/>
          <w:i w:val="0"/>
          <w:smallCaps w:val="0"/>
          <w:strike w:val="0"/>
          <w:sz w:val="16"/>
          <w:u w:val="none"/>
        </w:rPr>
        <w:t>“United States v United States: When Can the Federal Government Sue Itself?”</w:t>
      </w:r>
      <w:r>
        <w:rPr>
          <w:b w:val="0"/>
          <w:i w:val="0"/>
          <w:smallCaps w:val="0"/>
          <w:strike w:val="0"/>
          <w:sz w:val="16"/>
          <w:u w:val="none"/>
        </w:rPr>
        <w:t>, //</w:t>
      </w:r>
      <w:r>
        <w:rPr>
          <w:b w:val="0"/>
          <w:i w:val="0"/>
          <w:smallCaps w:val="0"/>
          <w:strike w:val="0"/>
          <w:sz w:val="16"/>
          <w:u w:val="none"/>
        </w:rPr>
        <w:t>zrubin</w:t>
      </w:r>
      <w:r>
        <w:rPr>
          <w:b w:val="0"/>
          <w:i w:val="0"/>
          <w:smallCaps w:val="0"/>
          <w:strike w:val="0"/>
          <w:sz w:val="16"/>
          <w:u w:val="none"/>
        </w:rPr>
        <w:t>]</w:t>
      </w:r>
    </w:p>
    <w:p>
      <w:pPr>
        <w:spacing w:after="60"/>
      </w:pPr>
      <w:r>
        <w:rPr>
          <w:b w:val="0"/>
          <w:i w:val="0"/>
          <w:smallCaps w:val="0"/>
          <w:strike w:val="0"/>
          <w:highlight w:val="cyan"/>
          <w:u w:val="single"/>
        </w:rPr>
        <w:t>Consider</w:t>
      </w:r>
      <w:r>
        <w:rPr>
          <w:b w:val="0"/>
          <w:i w:val="0"/>
          <w:smallCaps w:val="0"/>
          <w:strike w:val="0"/>
          <w:u w:val="single"/>
        </w:rPr>
        <w:t xml:space="preserve">, then, merely </w:t>
      </w:r>
      <w:r>
        <w:rPr>
          <w:b/>
          <w:i w:val="0"/>
          <w:smallCaps w:val="0"/>
          <w:strike w:val="0"/>
          <w:highlight w:val="cyan"/>
          <w:u w:val="single"/>
        </w:rPr>
        <w:t>the United States government as one person</w:t>
      </w:r>
      <w:r>
        <w:rPr>
          <w:b w:val="0"/>
          <w:i w:val="0"/>
          <w:smallCaps w:val="0"/>
          <w:strike w:val="0"/>
          <w:u w:val="none"/>
        </w:rPr>
        <w:t xml:space="preserve">. </w:t>
      </w:r>
      <w:r>
        <w:rPr>
          <w:b w:val="0"/>
          <w:i w:val="0"/>
          <w:smallCaps w:val="0"/>
          <w:strike w:val="0"/>
          <w:u w:val="single"/>
        </w:rPr>
        <w:t xml:space="preserve">The idea of </w:t>
      </w:r>
      <w:r>
        <w:rPr>
          <w:b w:val="0"/>
          <w:i w:val="0"/>
          <w:smallCaps w:val="0"/>
          <w:strike w:val="0"/>
          <w:highlight w:val="cyan"/>
          <w:u w:val="single"/>
        </w:rPr>
        <w:t>a unitary federal government</w:t>
      </w:r>
      <w:r>
        <w:rPr>
          <w:b w:val="0"/>
          <w:i w:val="0"/>
          <w:smallCaps w:val="0"/>
          <w:strike w:val="0"/>
          <w:u w:val="single"/>
        </w:rPr>
        <w:t xml:space="preserve">, its parts </w:t>
      </w:r>
      <w:r>
        <w:rPr>
          <w:b w:val="0"/>
          <w:i w:val="0"/>
          <w:smallCaps w:val="0"/>
          <w:strike w:val="0"/>
          <w:highlight w:val="cyan"/>
          <w:u w:val="single"/>
        </w:rPr>
        <w:t>joined by "one indissoluble bond of unity</w:t>
      </w:r>
      <w:r>
        <w:rPr>
          <w:b w:val="0"/>
          <w:i w:val="0"/>
          <w:smallCaps w:val="0"/>
          <w:strike w:val="0"/>
          <w:u w:val="single"/>
        </w:rPr>
        <w:t xml:space="preserve"> and amity,"'r5 is an attractive one.</w:t>
      </w:r>
      <w:r>
        <w:rPr>
          <w:b w:val="0"/>
          <w:i w:val="0"/>
          <w:smallCaps w:val="0"/>
          <w:strike w:val="0"/>
          <w:u w:val="none"/>
        </w:rPr>
        <w:t xml:space="preserve"> </w:t>
      </w:r>
      <w:r>
        <w:rPr>
          <w:b w:val="0"/>
          <w:i w:val="0"/>
          <w:smallCaps w:val="0"/>
          <w:strike w:val="0"/>
          <w:u w:val="single"/>
        </w:rPr>
        <w:t>The Supreme Court's opinion in United States v. Providence Journal Co. 52 recently illustrated just how attractive it is.</w:t>
      </w:r>
      <w:r>
        <w:rPr>
          <w:b w:val="0"/>
          <w:i w:val="0"/>
          <w:smallCaps w:val="0"/>
          <w:strike w:val="0"/>
          <w:u w:val="none"/>
        </w:rPr>
        <w:t xml:space="preserve"> </w:t>
      </w:r>
      <w:r>
        <w:rPr>
          <w:b w:val="0"/>
          <w:i w:val="0"/>
          <w:smallCaps w:val="0"/>
          <w:strike w:val="0"/>
          <w:u w:val="single"/>
        </w:rPr>
        <w:t xml:space="preserve">In that case, the Court refused to allow the Solicitor General to relinquish his role as lawyer for the United States even though the governmental interest concerned the judicial rather than the executive branch. Operating from a conception of a unified government, </w:t>
      </w:r>
      <w:r>
        <w:rPr>
          <w:b w:val="0"/>
          <w:i w:val="0"/>
          <w:smallCaps w:val="0"/>
          <w:strike w:val="0"/>
          <w:highlight w:val="cyan"/>
          <w:u w:val="single"/>
        </w:rPr>
        <w:t>the Court rejected</w:t>
      </w:r>
      <w:r>
        <w:rPr>
          <w:b w:val="0"/>
          <w:i w:val="0"/>
          <w:smallCaps w:val="0"/>
          <w:strike w:val="0"/>
          <w:u w:val="single"/>
        </w:rPr>
        <w:t xml:space="preserve"> as "startling" the suggestion </w:t>
      </w:r>
      <w:r>
        <w:rPr>
          <w:b w:val="0"/>
          <w:i w:val="0"/>
          <w:smallCaps w:val="0"/>
          <w:strike w:val="0"/>
          <w:highlight w:val="cyan"/>
          <w:u w:val="single"/>
        </w:rPr>
        <w:t>that "there is more than one 'United States'</w:t>
      </w:r>
      <w:r>
        <w:rPr>
          <w:b w:val="0"/>
          <w:i w:val="0"/>
          <w:smallCaps w:val="0"/>
          <w:strike w:val="0"/>
          <w:u w:val="single"/>
        </w:rPr>
        <w:t xml:space="preserve"> that may appear before this Court."' '</w:t>
      </w:r>
      <w:r>
        <w:rPr>
          <w:b w:val="0"/>
          <w:i w:val="0"/>
          <w:smallCaps w:val="0"/>
          <w:strike w:val="0"/>
          <w:u w:val="none"/>
        </w:rPr>
        <w:t xml:space="preserve"> </w:t>
      </w:r>
      <w:r>
        <w:rPr>
          <w:b w:val="0"/>
          <w:i w:val="0"/>
          <w:smallCaps w:val="0"/>
          <w:strike w:val="0"/>
          <w:u w:val="single"/>
        </w:rPr>
        <w:t>As a matter of statutory interpretation, the holding in Providence Journal is unobjectionable.</w:t>
      </w:r>
    </w:p>
    <w:p>
      <w:pPr>
        <w:pStyle w:val="Caption"/>
      </w:pPr>
      <w:r>
        <w:t>Source: Topicality Supplement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