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In the context of</w:t>
      </w:r>
      <w:r>
        <w:rPr>
          <w:b/>
          <w:i w:val="0"/>
          <w:smallCaps w:val="0"/>
          <w:strike w:val="0"/>
          <w:sz w:val="26"/>
          <w:u w:val="none"/>
        </w:rPr>
        <w:t xml:space="preserve"> IP Law, significant refers to </w:t>
      </w:r>
      <w:r>
        <w:rPr>
          <w:b/>
          <w:i w:val="0"/>
          <w:smallCaps w:val="0"/>
          <w:strike w:val="0"/>
          <w:sz w:val="26"/>
          <w:u w:val="none"/>
        </w:rPr>
        <w:t xml:space="preserve">close to or </w:t>
      </w:r>
      <w:r>
        <w:rPr>
          <w:b/>
          <w:i w:val="0"/>
          <w:smallCaps w:val="0"/>
          <w:strike w:val="0"/>
          <w:sz w:val="26"/>
          <w:u w:val="none"/>
        </w:rPr>
        <w:t>all of</w:t>
      </w:r>
      <w:r>
        <w:rPr>
          <w:b/>
          <w:i w:val="0"/>
          <w:smallCaps w:val="0"/>
          <w:strike w:val="0"/>
          <w:sz w:val="26"/>
          <w:u w:val="none"/>
        </w:rPr>
        <w:t xml:space="preserve"> the relevant </w:t>
      </w:r>
      <w:r>
        <w:rPr>
          <w:b/>
          <w:i w:val="0"/>
          <w:smallCaps w:val="0"/>
          <w:strike w:val="0"/>
          <w:sz w:val="26"/>
          <w:u w:val="none"/>
        </w:rPr>
        <w:t>assets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Dyk 09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[Timothy Belcher Dyk, United States circuit judge of the United States Court of Appeals for the Federal Circuit, “In re SPIRITS INTERNATIONAL, N.V.”, No. 2008-1369, United States Court of Appeals, Federal Circuit, April 29, 2009,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Though varying linguistic formulations have been used, the wide consensus of the courts of appeals is consistent with the conclusion of the Third Circuit in Johnson &amp; Johnson-Merck that the mark or advertising must deceive a substantial portion of the relevant consumers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See, e.g., Herman Miller, Inc. v. </w:t>
      </w:r>
      <w:r>
        <w:rPr>
          <w:b w:val="0"/>
          <w:i w:val="0"/>
          <w:smallCaps w:val="0"/>
          <w:strike w:val="0"/>
          <w:sz w:val="14"/>
          <w:u w:val="none"/>
        </w:rPr>
        <w:t>Palazzetti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Imps. &amp; </w:t>
      </w:r>
      <w:r>
        <w:rPr>
          <w:b w:val="0"/>
          <w:i w:val="0"/>
          <w:smallCaps w:val="0"/>
          <w:strike w:val="0"/>
          <w:sz w:val="14"/>
          <w:u w:val="none"/>
        </w:rPr>
        <w:t>Exps</w:t>
      </w:r>
      <w:r>
        <w:rPr>
          <w:b w:val="0"/>
          <w:i w:val="0"/>
          <w:smallCaps w:val="0"/>
          <w:strike w:val="0"/>
          <w:sz w:val="14"/>
          <w:u w:val="none"/>
        </w:rPr>
        <w:t>., Inc., 270 F.3d 298, 323 (6th Cir. 2001) ("tends to deceive a substantial portion of the intended audience"); Clorox Co. P.R. v. Proctor &amp; Gamble Commercial Co., 228 F.3d 24, 33 n. 6 (1st Cir.2000) ("tendency to deceive a substantial segment of its audience"); United Indus. Corp. v. Clorox Co., 140 F.3d 1175, 1180 (8th Cir.1998); William H. Morris Co. v. Group W, Inc., 66 F.3d 255, 258 (9th Cir.1995) (stating that less than 3% is "[s]</w:t>
      </w:r>
      <w:r>
        <w:rPr>
          <w:b w:val="0"/>
          <w:i w:val="0"/>
          <w:smallCaps w:val="0"/>
          <w:strike w:val="0"/>
          <w:sz w:val="14"/>
          <w:u w:val="none"/>
        </w:rPr>
        <w:t>uch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 small percentage" that it "does not constitute proof that a significant portion of recipients were deceived"); Johnson &amp; Johnson * Merck Consumer Pharms. Co. v. </w:t>
      </w:r>
      <w:r>
        <w:rPr>
          <w:b w:val="0"/>
          <w:i w:val="0"/>
          <w:smallCaps w:val="0"/>
          <w:strike w:val="0"/>
          <w:sz w:val="14"/>
          <w:u w:val="none"/>
        </w:rPr>
        <w:t>Smithkline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Beecham Corp., 960 F.2d 294, 297-98 (2d Cir.1992) </w:t>
      </w:r>
      <w:r>
        <w:rPr>
          <w:b w:val="0"/>
          <w:i w:val="0"/>
          <w:smallCaps w:val="0"/>
          <w:strike w:val="0"/>
          <w:u w:val="single"/>
        </w:rPr>
        <w:t>("</w:t>
      </w:r>
      <w:r>
        <w:rPr>
          <w:b w:val="0"/>
          <w:i w:val="0"/>
          <w:smallCaps w:val="0"/>
          <w:strike w:val="0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u w:val="single"/>
        </w:rPr>
        <w:t xml:space="preserve"> statistically </w:t>
      </w:r>
      <w:r>
        <w:rPr>
          <w:b w:val="0"/>
          <w:i w:val="0"/>
          <w:smallCaps w:val="0"/>
          <w:strike w:val="0"/>
          <w:highlight w:val="cyan"/>
          <w:u w:val="single"/>
        </w:rPr>
        <w:t>significant part of the commercial audience</w:t>
      </w:r>
      <w:r>
        <w:rPr>
          <w:b w:val="0"/>
          <w:i w:val="0"/>
          <w:smallCaps w:val="0"/>
          <w:strike w:val="0"/>
          <w:u w:val="single"/>
        </w:rPr>
        <w:t>").</w:t>
      </w:r>
      <w:r>
        <w:rPr>
          <w:b w:val="0"/>
          <w:i w:val="0"/>
          <w:smallCaps w:val="0"/>
          <w:strike w:val="0"/>
          <w:sz w:val="14"/>
          <w:u w:val="none"/>
        </w:rPr>
        <w:t>[4]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See generally Richard J. Leighton, Materiality and Puffing in Lanham Act False Advertising Cases: The Proofs, Presumptions, and Pretexts, 94 Trademark Rep. 585 (2004).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Under the circumstances </w:t>
      </w:r>
      <w:r>
        <w:rPr>
          <w:b w:val="0"/>
          <w:i w:val="0"/>
          <w:smallCaps w:val="0"/>
          <w:strike w:val="0"/>
          <w:u w:val="single"/>
        </w:rPr>
        <w:t>it is clear that section</w:t>
      </w:r>
      <w:r>
        <w:rPr>
          <w:b w:val="0"/>
          <w:i w:val="0"/>
          <w:smallCaps w:val="0"/>
          <w:strike w:val="0"/>
          <w:u w:val="single"/>
        </w:rPr>
        <w:t xml:space="preserve"> (e)(3) — like subsection (a), the false advertising provision of </w:t>
      </w:r>
      <w:r>
        <w:rPr>
          <w:b w:val="0"/>
          <w:i w:val="0"/>
          <w:smallCaps w:val="0"/>
          <w:strike w:val="0"/>
          <w:u w:val="single"/>
        </w:rPr>
        <w:t>the Lanham Act</w:t>
      </w:r>
      <w:r>
        <w:rPr>
          <w:b w:val="0"/>
          <w:i w:val="0"/>
          <w:smallCaps w:val="0"/>
          <w:strike w:val="0"/>
          <w:u w:val="single"/>
        </w:rPr>
        <w:t xml:space="preserve">, and the common law — requires that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a </w:t>
      </w:r>
      <w:r>
        <w:rPr>
          <w:b/>
          <w:i w:val="0"/>
          <w:smallCaps w:val="0"/>
          <w:strike w:val="0"/>
          <w:highlight w:val="cyan"/>
          <w:u w:val="single"/>
        </w:rPr>
        <w:t>significant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portion</w:t>
      </w:r>
      <w:r>
        <w:rPr>
          <w:b w:val="0"/>
          <w:i w:val="0"/>
          <w:smallCaps w:val="0"/>
          <w:strike w:val="0"/>
          <w:u w:val="single"/>
        </w:rPr>
        <w:t xml:space="preserve"> of the relevant consuming public be deceived. That population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is often the </w:t>
      </w:r>
      <w:r>
        <w:rPr>
          <w:b w:val="0"/>
          <w:i w:val="0"/>
          <w:smallCaps w:val="0"/>
          <w:strike w:val="0"/>
          <w:highlight w:val="cyan"/>
          <w:u w:val="single"/>
        </w:rPr>
        <w:t>entire U.S. population interested in purchasing the product</w:t>
      </w:r>
      <w:r>
        <w:rPr>
          <w:b w:val="0"/>
          <w:i w:val="0"/>
          <w:smallCaps w:val="0"/>
          <w:strike w:val="0"/>
          <w:u w:val="single"/>
        </w:rPr>
        <w:t xml:space="preserve"> or service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