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Patent rights </w:t>
      </w:r>
      <w:r>
        <w:rPr>
          <w:b/>
          <w:i w:val="0"/>
          <w:smallCaps w:val="0"/>
          <w:strike w:val="0"/>
          <w:sz w:val="26"/>
          <w:u w:val="none"/>
        </w:rPr>
        <w:t>provide injunctions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Skelton 83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>Byron George Skelton, Senior Judge of the United States Court of Appeals for the Federal Circuit</w:t>
      </w:r>
      <w:r>
        <w:rPr>
          <w:b w:val="0"/>
          <w:i w:val="0"/>
          <w:smallCaps w:val="0"/>
          <w:strike w:val="0"/>
          <w:sz w:val="16"/>
          <w:u w:val="none"/>
        </w:rPr>
        <w:t>, “SMITH INTERNATIONAL, INC., a California corporation, Plaintiff-Appellee, v. HUGHES TOOL COMPANY, a Delaware corporation, Defendant-Appellant.”, Appeal No. 83-677, United States Court of Appeals, Federal Circuit, October 6, 1983,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grant of </w:t>
      </w:r>
      <w:r>
        <w:rPr>
          <w:b w:val="0"/>
          <w:i w:val="0"/>
          <w:smallCaps w:val="0"/>
          <w:strike w:val="0"/>
          <w:highlight w:val="cyan"/>
          <w:u w:val="single"/>
        </w:rPr>
        <w:t>a patent is</w:t>
      </w:r>
      <w:r>
        <w:rPr>
          <w:b w:val="0"/>
          <w:i w:val="0"/>
          <w:smallCaps w:val="0"/>
          <w:strike w:val="0"/>
          <w:u w:val="single"/>
        </w:rPr>
        <w:t xml:space="preserve"> the grant of </w:t>
      </w:r>
      <w:r>
        <w:rPr>
          <w:b w:val="0"/>
          <w:i w:val="0"/>
          <w:smallCaps w:val="0"/>
          <w:strike w:val="0"/>
          <w:highlight w:val="cyan"/>
          <w:u w:val="single"/>
        </w:rPr>
        <w:t>the right to invoke the state's power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 order </w:t>
      </w:r>
      <w:r>
        <w:rPr>
          <w:b w:val="0"/>
          <w:i w:val="0"/>
          <w:smallCaps w:val="0"/>
          <w:strike w:val="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exclude others from utilizing the</w:t>
      </w:r>
      <w:r>
        <w:rPr>
          <w:b w:val="0"/>
          <w:i w:val="0"/>
          <w:smallCaps w:val="0"/>
          <w:strike w:val="0"/>
          <w:u w:val="single"/>
        </w:rPr>
        <w:t xml:space="preserve"> patentee's </w:t>
      </w:r>
      <w:r>
        <w:rPr>
          <w:b w:val="0"/>
          <w:i w:val="0"/>
          <w:smallCaps w:val="0"/>
          <w:strike w:val="0"/>
          <w:highlight w:val="cyan"/>
          <w:u w:val="single"/>
        </w:rPr>
        <w:t>discovery without</w:t>
      </w:r>
      <w:r>
        <w:rPr>
          <w:b w:val="0"/>
          <w:i w:val="0"/>
          <w:smallCaps w:val="0"/>
          <w:strike w:val="0"/>
          <w:u w:val="single"/>
        </w:rPr>
        <w:t xml:space="preserve"> his </w:t>
      </w:r>
      <w:r>
        <w:rPr>
          <w:b w:val="0"/>
          <w:i w:val="0"/>
          <w:smallCaps w:val="0"/>
          <w:strike w:val="0"/>
          <w:highlight w:val="cyan"/>
          <w:u w:val="single"/>
        </w:rPr>
        <w:t>consent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Zenith Radio Corp. v. Hazeltine Research, 395 U.S. 100, 135, 89 </w:t>
      </w:r>
      <w:r>
        <w:rPr>
          <w:b w:val="0"/>
          <w:i w:val="0"/>
          <w:smallCaps w:val="0"/>
          <w:strike w:val="0"/>
          <w:sz w:val="14"/>
          <w:u w:val="none"/>
        </w:rPr>
        <w:t>S.Ct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1562, 1582, 23 L.Ed.2d 129 (1969); Sears, Roebuck &amp; Co. v. Stiffel Co., 376 U.S. 225, 229, 84 </w:t>
      </w:r>
      <w:r>
        <w:rPr>
          <w:b w:val="0"/>
          <w:i w:val="0"/>
          <w:smallCaps w:val="0"/>
          <w:strike w:val="0"/>
          <w:sz w:val="14"/>
          <w:u w:val="none"/>
        </w:rPr>
        <w:t>S.Ct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784, 787, 11 L.Ed.2d 661, reh. denied, 376 U.S. 973, 84 </w:t>
      </w:r>
      <w:r>
        <w:rPr>
          <w:b w:val="0"/>
          <w:i w:val="0"/>
          <w:smallCaps w:val="0"/>
          <w:strike w:val="0"/>
          <w:sz w:val="14"/>
          <w:u w:val="none"/>
        </w:rPr>
        <w:t>S.Ct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1131, 12 L.Ed.2d 87 (1964); Continental Paper Bag Co. v. Eastern Paper Bag Co., 210 U.S. 405, 430, 28 </w:t>
      </w:r>
      <w:r>
        <w:rPr>
          <w:b w:val="0"/>
          <w:i w:val="0"/>
          <w:smallCaps w:val="0"/>
          <w:strike w:val="0"/>
          <w:sz w:val="14"/>
          <w:u w:val="none"/>
        </w:rPr>
        <w:t>S.Ct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748, 756, 52 </w:t>
      </w:r>
      <w:r>
        <w:rPr>
          <w:b w:val="0"/>
          <w:i w:val="0"/>
          <w:smallCaps w:val="0"/>
          <w:strike w:val="0"/>
          <w:sz w:val="14"/>
          <w:u w:val="none"/>
        </w:rPr>
        <w:t>L.Ed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1122 (1908). </w:t>
      </w:r>
      <w:r>
        <w:rPr>
          <w:b w:val="0"/>
          <w:i w:val="0"/>
          <w:smallCaps w:val="0"/>
          <w:strike w:val="0"/>
          <w:u w:val="single"/>
        </w:rPr>
        <w:t>Protection of this right to exclude has been provided by Congress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through 35 U.S.C. § 283, inter alia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which provides that </w:t>
      </w:r>
      <w:r>
        <w:rPr>
          <w:b/>
          <w:i w:val="0"/>
          <w:smallCaps w:val="0"/>
          <w:strike w:val="0"/>
          <w:highlight w:val="cyan"/>
          <w:u w:val="single"/>
        </w:rPr>
        <w:t>injunctions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may be granted</w:t>
      </w:r>
      <w:r>
        <w:rPr>
          <w:b w:val="0"/>
          <w:i w:val="0"/>
          <w:smallCaps w:val="0"/>
          <w:strike w:val="0"/>
          <w:u w:val="single"/>
        </w:rPr>
        <w:t xml:space="preserve"> under the principles of equity to "prevent the violation of any rights secured by patent, on such terms as the court deems reasonable</w:t>
      </w:r>
      <w:r>
        <w:rPr>
          <w:b w:val="0"/>
          <w:i w:val="0"/>
          <w:smallCaps w:val="0"/>
          <w:strike w:val="0"/>
          <w:u w:val="none"/>
        </w:rPr>
        <w:t xml:space="preserve">." </w:t>
      </w:r>
      <w:r>
        <w:rPr>
          <w:b w:val="0"/>
          <w:i w:val="0"/>
          <w:smallCaps w:val="0"/>
          <w:strike w:val="0"/>
          <w:u w:val="single"/>
        </w:rPr>
        <w:t>Without this injunctive power of the courts, the right to exclude granted by the patent would be diminished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and the express purpose of the Constitution and Congress, to promote the progress of the useful arts, 1578*1578 would be seriously undermined.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patent owner would lack much of the "leverage," afforded by the right to exclude, to enjoy the full value of his invention in the </w:t>
      </w:r>
      <w:r>
        <w:rPr>
          <w:b w:val="0"/>
          <w:i w:val="0"/>
          <w:smallCaps w:val="0"/>
          <w:strike w:val="0"/>
          <w:u w:val="single"/>
        </w:rPr>
        <w:t>market place</w:t>
      </w:r>
      <w:r>
        <w:rPr>
          <w:b w:val="0"/>
          <w:i w:val="0"/>
          <w:smallCaps w:val="0"/>
          <w:strike w:val="0"/>
          <w:u w:val="single"/>
        </w:rPr>
        <w:t xml:space="preserve">. Without the right to obtain an injunction, the right to exclude granted to the patentee would have only a fraction of the value it was intended to </w:t>
      </w:r>
      <w:r>
        <w:rPr>
          <w:b w:val="0"/>
          <w:i w:val="0"/>
          <w:smallCaps w:val="0"/>
          <w:strike w:val="0"/>
          <w:u w:val="single"/>
        </w:rPr>
        <w:t>have, and</w:t>
      </w:r>
      <w:r>
        <w:rPr>
          <w:b w:val="0"/>
          <w:i w:val="0"/>
          <w:smallCaps w:val="0"/>
          <w:strike w:val="0"/>
          <w:u w:val="single"/>
        </w:rPr>
        <w:t xml:space="preserve"> would no longer be as great an incentive to engage in the toils of scientific and technological research.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