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Domestic IPR </w:t>
      </w:r>
      <w:r>
        <w:rPr>
          <w:b/>
          <w:i w:val="0"/>
          <w:smallCaps w:val="0"/>
          <w:strike w:val="0"/>
          <w:sz w:val="26"/>
          <w:u w:val="none"/>
        </w:rPr>
        <w:t>includes protection against violations that occurred outside the US</w:t>
      </w:r>
    </w:p>
    <w:p>
      <w:pPr>
        <w:spacing w:after="80"/>
      </w:pPr>
      <w:r>
        <w:rPr>
          <w:b/>
          <w:i w:val="0"/>
          <w:smallCaps w:val="0"/>
          <w:strike w:val="0"/>
          <w:sz w:val="26"/>
          <w:u w:val="none"/>
        </w:rPr>
        <w:t xml:space="preserve">Alito </w:t>
      </w:r>
      <w:r>
        <w:rPr>
          <w:b/>
          <w:i w:val="0"/>
          <w:smallCaps w:val="0"/>
          <w:strike w:val="0"/>
          <w:sz w:val="26"/>
          <w:u w:val="none"/>
        </w:rPr>
        <w:t>23</w:t>
      </w:r>
      <w:r>
        <w:rPr>
          <w:b w:val="0"/>
          <w:i w:val="0"/>
          <w:smallCaps w:val="0"/>
          <w:strike w:val="0"/>
          <w:u w:val="none"/>
        </w:rPr>
        <w:t xml:space="preserve"> </w:t>
      </w:r>
      <w:r>
        <w:rPr>
          <w:b w:val="0"/>
          <w:i w:val="0"/>
          <w:smallCaps w:val="0"/>
          <w:strike w:val="0"/>
          <w:sz w:val="16"/>
          <w:u w:val="none"/>
        </w:rPr>
        <w:t>[</w:t>
      </w:r>
      <w:r>
        <w:rPr>
          <w:b w:val="0"/>
          <w:i w:val="0"/>
          <w:smallCaps w:val="0"/>
          <w:strike w:val="0"/>
          <w:sz w:val="16"/>
          <w:u w:val="none"/>
        </w:rPr>
        <w:t>Samuel Anthony Alito Jr.,</w:t>
      </w:r>
      <w:r>
        <w:rPr>
          <w:b w:val="0"/>
          <w:i w:val="0"/>
          <w:smallCaps w:val="0"/>
          <w:strike w:val="0"/>
          <w:sz w:val="16"/>
          <w:u w:val="none"/>
        </w:rPr>
        <w:t xml:space="preserve"> American jurist who serves as an associate justice of the Supreme Court of the United States, nominated to the high court by President George W. Bush,</w:t>
      </w:r>
      <w:r>
        <w:rPr>
          <w:b w:val="0"/>
          <w:i w:val="0"/>
          <w:smallCaps w:val="0"/>
          <w:strike w:val="0"/>
          <w:sz w:val="16"/>
          <w:u w:val="none"/>
        </w:rPr>
        <w:t xml:space="preserve"> </w:t>
      </w:r>
      <w:r>
        <w:rPr>
          <w:b w:val="0"/>
          <w:i w:val="0"/>
          <w:smallCaps w:val="0"/>
          <w:strike w:val="0"/>
          <w:sz w:val="16"/>
          <w:u w:val="none"/>
        </w:rPr>
        <w:t xml:space="preserve">Supreme Court of United States, </w:t>
      </w:r>
      <w:r>
        <w:rPr>
          <w:b w:val="0"/>
          <w:i w:val="0"/>
          <w:smallCaps w:val="0"/>
          <w:strike w:val="0"/>
          <w:sz w:val="16"/>
          <w:u w:val="none"/>
        </w:rPr>
        <w:t xml:space="preserve">143 </w:t>
      </w:r>
      <w:r>
        <w:rPr>
          <w:b w:val="0"/>
          <w:i w:val="0"/>
          <w:smallCaps w:val="0"/>
          <w:strike w:val="0"/>
          <w:sz w:val="16"/>
          <w:u w:val="none"/>
        </w:rPr>
        <w:t>S.Ct</w:t>
      </w:r>
      <w:r>
        <w:rPr>
          <w:b w:val="0"/>
          <w:i w:val="0"/>
          <w:smallCaps w:val="0"/>
          <w:strike w:val="0"/>
          <w:sz w:val="16"/>
          <w:u w:val="none"/>
        </w:rPr>
        <w:t>. 2522 (2023), “ABITRON AUSTRIA GMBH, et al., Petitioners, v. HETRONIC INTERNATIONAL, INC.”</w:t>
      </w:r>
      <w:r>
        <w:rPr>
          <w:b w:val="0"/>
          <w:i w:val="0"/>
          <w:smallCaps w:val="0"/>
          <w:strike w:val="0"/>
          <w:sz w:val="16"/>
          <w:u w:val="none"/>
        </w:rPr>
        <w:t>, //</w:t>
      </w:r>
      <w:r>
        <w:rPr>
          <w:b w:val="0"/>
          <w:i w:val="0"/>
          <w:smallCaps w:val="0"/>
          <w:strike w:val="0"/>
          <w:sz w:val="16"/>
          <w:u w:val="none"/>
        </w:rPr>
        <w:t>zrubin</w:t>
      </w:r>
      <w:r>
        <w:rPr>
          <w:b w:val="0"/>
          <w:i w:val="0"/>
          <w:smallCaps w:val="0"/>
          <w:strike w:val="0"/>
          <w:sz w:val="16"/>
          <w:u w:val="none"/>
        </w:rPr>
        <w:t>]</w:t>
      </w:r>
    </w:p>
    <w:p>
      <w:pPr>
        <w:spacing w:after="60"/>
      </w:pPr>
      <w:r>
        <w:rPr>
          <w:b w:val="0"/>
          <w:i w:val="0"/>
          <w:smallCaps w:val="0"/>
          <w:strike w:val="0"/>
          <w:sz w:val="14"/>
          <w:u w:val="none"/>
        </w:rPr>
        <w:t>Abitron</w:t>
      </w:r>
      <w:r>
        <w:rPr>
          <w:b w:val="0"/>
          <w:i w:val="0"/>
          <w:smallCaps w:val="0"/>
          <w:strike w:val="0"/>
          <w:sz w:val="14"/>
          <w:u w:val="none"/>
        </w:rPr>
        <w:t xml:space="preserve"> contends that § 1114(1)(a) and § 1125(a)(1) focus on preventing infringing use of trademarks, while </w:t>
      </w:r>
      <w:r>
        <w:rPr>
          <w:b w:val="0"/>
          <w:i w:val="0"/>
          <w:smallCaps w:val="0"/>
          <w:strike w:val="0"/>
          <w:sz w:val="14"/>
          <w:u w:val="none"/>
        </w:rPr>
        <w:t>Hetronic</w:t>
      </w:r>
      <w:r>
        <w:rPr>
          <w:b w:val="0"/>
          <w:i w:val="0"/>
          <w:smallCaps w:val="0"/>
          <w:strike w:val="0"/>
          <w:sz w:val="14"/>
          <w:u w:val="none"/>
        </w:rPr>
        <w:t xml:space="preserve"> argues that they focus both on protecting the goodwill of mark owners and on preventing consumer confusion. The United States as a </w:t>
      </w:r>
      <w:r>
        <w:rPr>
          <w:b w:val="0"/>
          <w:i w:val="0"/>
          <w:smallCaps w:val="0"/>
          <w:strike w:val="0"/>
          <w:sz w:val="14"/>
          <w:u w:val="none"/>
        </w:rPr>
        <w:t>micus</w:t>
      </w:r>
      <w:r>
        <w:rPr>
          <w:b w:val="0"/>
          <w:i w:val="0"/>
          <w:smallCaps w:val="0"/>
          <w:strike w:val="0"/>
          <w:sz w:val="14"/>
          <w:u w:val="none"/>
        </w:rPr>
        <w:t xml:space="preserve"> curiae argues that the provisions focus on only likely consumer confusion.</w:t>
      </w:r>
      <w:r>
        <w:rPr>
          <w:b w:val="0"/>
          <w:i w:val="0"/>
          <w:smallCaps w:val="0"/>
          <w:strike w:val="0"/>
          <w:u w:val="none"/>
        </w:rPr>
        <w:t xml:space="preserve"> </w:t>
      </w:r>
      <w:r>
        <w:rPr>
          <w:b w:val="0"/>
          <w:i w:val="0"/>
          <w:smallCaps w:val="0"/>
          <w:strike w:val="0"/>
          <w:sz w:val="14"/>
          <w:u w:val="none"/>
        </w:rPr>
        <w:t xml:space="preserve">The parties all seek support for their positions in Steele v. Bulova Watch Co., 344 U.S. 280, 73 </w:t>
      </w:r>
      <w:r>
        <w:rPr>
          <w:b w:val="0"/>
          <w:i w:val="0"/>
          <w:smallCaps w:val="0"/>
          <w:strike w:val="0"/>
          <w:sz w:val="14"/>
          <w:u w:val="none"/>
        </w:rPr>
        <w:t>S.Ct</w:t>
      </w:r>
      <w:r>
        <w:rPr>
          <w:b w:val="0"/>
          <w:i w:val="0"/>
          <w:smallCaps w:val="0"/>
          <w:strike w:val="0"/>
          <w:sz w:val="14"/>
          <w:u w:val="none"/>
        </w:rPr>
        <w:t xml:space="preserve">. 252, 97 </w:t>
      </w:r>
      <w:r>
        <w:rPr>
          <w:b w:val="0"/>
          <w:i w:val="0"/>
          <w:smallCaps w:val="0"/>
          <w:strike w:val="0"/>
          <w:sz w:val="14"/>
          <w:u w:val="none"/>
        </w:rPr>
        <w:t>L.Ed</w:t>
      </w:r>
      <w:r>
        <w:rPr>
          <w:b w:val="0"/>
          <w:i w:val="0"/>
          <w:smallCaps w:val="0"/>
          <w:strike w:val="0"/>
          <w:sz w:val="14"/>
          <w:u w:val="none"/>
        </w:rPr>
        <w:t>. 319 (1952), but that decision is of little assistance here.</w:t>
      </w:r>
      <w:r>
        <w:rPr>
          <w:b w:val="0"/>
          <w:i w:val="0"/>
          <w:smallCaps w:val="0"/>
          <w:strike w:val="0"/>
          <w:u w:val="none"/>
        </w:rPr>
        <w:t xml:space="preserve"> </w:t>
      </w:r>
      <w:r>
        <w:rPr>
          <w:b w:val="0"/>
          <w:i w:val="0"/>
          <w:smallCaps w:val="0"/>
          <w:strike w:val="0"/>
          <w:u w:val="single"/>
        </w:rPr>
        <w:t xml:space="preserve">There, we considered a suit alleging that the defendant, through </w:t>
      </w:r>
      <w:r>
        <w:rPr>
          <w:b w:val="0"/>
          <w:i w:val="0"/>
          <w:smallCaps w:val="0"/>
          <w:strike w:val="0"/>
          <w:highlight w:val="cyan"/>
          <w:u w:val="single"/>
        </w:rPr>
        <w:t>activity in both the United States and Mexico, had violated the Lanham Act</w:t>
      </w:r>
      <w:r>
        <w:rPr>
          <w:b w:val="0"/>
          <w:i w:val="0"/>
          <w:smallCaps w:val="0"/>
          <w:strike w:val="0"/>
          <w:u w:val="single"/>
        </w:rPr>
        <w:t xml:space="preserve"> by producing and selling watches stamped with a trademark that was protected in the United States.</w:t>
      </w:r>
      <w:r>
        <w:rPr>
          <w:b w:val="0"/>
          <w:i w:val="0"/>
          <w:smallCaps w:val="0"/>
          <w:strike w:val="0"/>
          <w:u w:val="single"/>
        </w:rPr>
        <w:t xml:space="preserve"> </w:t>
      </w:r>
      <w:r>
        <w:rPr>
          <w:b w:val="0"/>
          <w:i w:val="0"/>
          <w:smallCaps w:val="0"/>
          <w:strike w:val="0"/>
          <w:sz w:val="14"/>
          <w:u w:val="none"/>
        </w:rPr>
        <w:t xml:space="preserve">Although we allowed the claim to proceed, our analysis understandably did not follow the two-step framework that we would develop decades later. Our decision </w:t>
      </w:r>
      <w:r>
        <w:rPr>
          <w:b w:val="0"/>
          <w:i w:val="0"/>
          <w:smallCaps w:val="0"/>
          <w:strike w:val="0"/>
          <w:sz w:val="14"/>
          <w:u w:val="none"/>
        </w:rPr>
        <w:t>was instead</w:t>
      </w:r>
      <w:r>
        <w:rPr>
          <w:b w:val="0"/>
          <w:i w:val="0"/>
          <w:smallCaps w:val="0"/>
          <w:strike w:val="0"/>
          <w:sz w:val="14"/>
          <w:u w:val="none"/>
        </w:rPr>
        <w:t xml:space="preserve"> narrow and </w:t>
      </w:r>
      <w:r>
        <w:rPr>
          <w:b w:val="0"/>
          <w:i w:val="0"/>
          <w:smallCaps w:val="0"/>
          <w:strike w:val="0"/>
          <w:sz w:val="14"/>
          <w:u w:val="none"/>
        </w:rPr>
        <w:t>factbound</w:t>
      </w:r>
      <w:r>
        <w:rPr>
          <w:b w:val="0"/>
          <w:i w:val="0"/>
          <w:smallCaps w:val="0"/>
          <w:strike w:val="0"/>
          <w:sz w:val="14"/>
          <w:u w:val="none"/>
        </w:rPr>
        <w:t>.</w:t>
      </w:r>
      <w:r>
        <w:rPr>
          <w:b w:val="0"/>
          <w:i w:val="0"/>
          <w:smallCaps w:val="0"/>
          <w:strike w:val="0"/>
          <w:u w:val="none"/>
        </w:rPr>
        <w:t xml:space="preserve"> </w:t>
      </w:r>
      <w:r>
        <w:rPr>
          <w:b w:val="0"/>
          <w:i w:val="0"/>
          <w:smallCaps w:val="0"/>
          <w:strike w:val="0"/>
          <w:u w:val="single"/>
        </w:rPr>
        <w:t>It rested on the judgment that "</w:t>
      </w:r>
      <w:r>
        <w:rPr>
          <w:b w:val="0"/>
          <w:i w:val="0"/>
          <w:smallCaps w:val="0"/>
          <w:strike w:val="0"/>
          <w:highlight w:val="cyan"/>
          <w:u w:val="single"/>
        </w:rPr>
        <w:t>the facts</w:t>
      </w:r>
      <w:r>
        <w:rPr>
          <w:b w:val="0"/>
          <w:i w:val="0"/>
          <w:smallCaps w:val="0"/>
          <w:strike w:val="0"/>
          <w:u w:val="single"/>
        </w:rPr>
        <w:t xml:space="preserve"> in the record ... </w:t>
      </w:r>
      <w:r>
        <w:rPr>
          <w:b w:val="0"/>
          <w:i w:val="0"/>
          <w:smallCaps w:val="0"/>
          <w:strike w:val="0"/>
          <w:highlight w:val="cyan"/>
          <w:u w:val="single"/>
        </w:rPr>
        <w:t>when viewed as a whole</w:t>
      </w:r>
      <w:r>
        <w:rPr>
          <w:b w:val="0"/>
          <w:i w:val="0"/>
          <w:smallCaps w:val="0"/>
          <w:strike w:val="0"/>
          <w:u w:val="single"/>
        </w:rPr>
        <w:t xml:space="preserve">" </w:t>
      </w:r>
      <w:r>
        <w:rPr>
          <w:b w:val="0"/>
          <w:i w:val="0"/>
          <w:smallCaps w:val="0"/>
          <w:strike w:val="0"/>
          <w:highlight w:val="cyan"/>
          <w:u w:val="single"/>
        </w:rPr>
        <w:t>were</w:t>
      </w:r>
      <w:r>
        <w:rPr>
          <w:b w:val="0"/>
          <w:i w:val="0"/>
          <w:smallCaps w:val="0"/>
          <w:strike w:val="0"/>
          <w:u w:val="none"/>
        </w:rPr>
        <w:t xml:space="preserve"> </w:t>
      </w:r>
      <w:r>
        <w:rPr>
          <w:b w:val="0"/>
          <w:i w:val="0"/>
          <w:smallCaps w:val="0"/>
          <w:strike w:val="0"/>
          <w:sz w:val="14"/>
          <w:u w:val="none"/>
        </w:rPr>
        <w:t>2531*2531</w:t>
      </w:r>
      <w:r>
        <w:rPr>
          <w:b w:val="0"/>
          <w:i w:val="0"/>
          <w:smallCaps w:val="0"/>
          <w:strike w:val="0"/>
          <w:u w:val="none"/>
        </w:rPr>
        <w:t xml:space="preserve"> </w:t>
      </w:r>
      <w:r>
        <w:rPr>
          <w:b w:val="0"/>
          <w:i w:val="0"/>
          <w:smallCaps w:val="0"/>
          <w:strike w:val="0"/>
          <w:highlight w:val="cyan"/>
          <w:u w:val="single"/>
        </w:rPr>
        <w:t>sufficient to rebut the presumption against extraterritoriality</w:t>
      </w:r>
      <w:r>
        <w:rPr>
          <w:b w:val="0"/>
          <w:i w:val="0"/>
          <w:smallCaps w:val="0"/>
          <w:strike w:val="0"/>
          <w:u w:val="single"/>
        </w:rPr>
        <w:t>.</w:t>
      </w:r>
      <w:r>
        <w:rPr>
          <w:b w:val="0"/>
          <w:i w:val="0"/>
          <w:smallCaps w:val="0"/>
          <w:strike w:val="0"/>
          <w:u w:val="single"/>
        </w:rPr>
        <w:t xml:space="preserve"> </w:t>
      </w:r>
      <w:r>
        <w:rPr>
          <w:b w:val="0"/>
          <w:i w:val="0"/>
          <w:smallCaps w:val="0"/>
          <w:strike w:val="0"/>
          <w:sz w:val="14"/>
          <w:u w:val="none"/>
        </w:rPr>
        <w:t xml:space="preserve">Id., at 285, 73 </w:t>
      </w:r>
      <w:r>
        <w:rPr>
          <w:b w:val="0"/>
          <w:i w:val="0"/>
          <w:smallCaps w:val="0"/>
          <w:strike w:val="0"/>
          <w:sz w:val="14"/>
          <w:u w:val="none"/>
        </w:rPr>
        <w:t>S.Ct</w:t>
      </w:r>
      <w:r>
        <w:rPr>
          <w:b w:val="0"/>
          <w:i w:val="0"/>
          <w:smallCaps w:val="0"/>
          <w:strike w:val="0"/>
          <w:sz w:val="14"/>
          <w:u w:val="none"/>
        </w:rPr>
        <w:t xml:space="preserve">. 252. In reaching this conclusion, we repeatedly emphasized both that the defendant committed "essential steps" in the course of his infringing conduct in the United States and that his conduct was likely to and did cause consumer confusion in the United States.[4] Id., at 286-287, 73 </w:t>
      </w:r>
      <w:r>
        <w:rPr>
          <w:b w:val="0"/>
          <w:i w:val="0"/>
          <w:smallCaps w:val="0"/>
          <w:strike w:val="0"/>
          <w:sz w:val="14"/>
          <w:u w:val="none"/>
        </w:rPr>
        <w:t>S.Ct</w:t>
      </w:r>
      <w:r>
        <w:rPr>
          <w:b w:val="0"/>
          <w:i w:val="0"/>
          <w:smallCaps w:val="0"/>
          <w:strike w:val="0"/>
          <w:sz w:val="14"/>
          <w:u w:val="none"/>
        </w:rPr>
        <w:t xml:space="preserve">. 252; accord, e.g., id., at 286, 73 </w:t>
      </w:r>
      <w:r>
        <w:rPr>
          <w:b w:val="0"/>
          <w:i w:val="0"/>
          <w:smallCaps w:val="0"/>
          <w:strike w:val="0"/>
          <w:sz w:val="14"/>
          <w:u w:val="none"/>
        </w:rPr>
        <w:t>S.Ct</w:t>
      </w:r>
      <w:r>
        <w:rPr>
          <w:b w:val="0"/>
          <w:i w:val="0"/>
          <w:smallCaps w:val="0"/>
          <w:strike w:val="0"/>
          <w:sz w:val="14"/>
          <w:u w:val="none"/>
        </w:rPr>
        <w:t>. 252</w:t>
      </w:r>
      <w:r>
        <w:rPr>
          <w:b w:val="0"/>
          <w:i w:val="0"/>
          <w:smallCaps w:val="0"/>
          <w:strike w:val="0"/>
          <w:u w:val="none"/>
        </w:rPr>
        <w:t xml:space="preserve"> </w:t>
      </w:r>
      <w:r>
        <w:rPr>
          <w:b w:val="0"/>
          <w:i w:val="0"/>
          <w:smallCaps w:val="0"/>
          <w:strike w:val="0"/>
          <w:u w:val="single"/>
        </w:rPr>
        <w:t xml:space="preserve">("His </w:t>
      </w:r>
      <w:r>
        <w:rPr>
          <w:b w:val="0"/>
          <w:i w:val="0"/>
          <w:smallCaps w:val="0"/>
          <w:strike w:val="0"/>
          <w:highlight w:val="cyan"/>
          <w:u w:val="single"/>
        </w:rPr>
        <w:t>operations and their effects</w:t>
      </w:r>
      <w:r>
        <w:rPr>
          <w:b w:val="0"/>
          <w:i w:val="0"/>
          <w:smallCaps w:val="0"/>
          <w:strike w:val="0"/>
          <w:u w:val="single"/>
        </w:rPr>
        <w:t xml:space="preserve"> were </w:t>
      </w:r>
      <w:r>
        <w:rPr>
          <w:b w:val="0"/>
          <w:i w:val="0"/>
          <w:smallCaps w:val="0"/>
          <w:strike w:val="0"/>
          <w:highlight w:val="cyan"/>
          <w:u w:val="single"/>
        </w:rPr>
        <w:t>not confined within the territorial limits of a foreign nation</w:t>
      </w:r>
      <w:r>
        <w:rPr>
          <w:b w:val="0"/>
          <w:i w:val="0"/>
          <w:smallCaps w:val="0"/>
          <w:strike w:val="0"/>
          <w:u w:val="single"/>
        </w:rPr>
        <w:t>");</w:t>
      </w:r>
      <w:r>
        <w:rPr>
          <w:b w:val="0"/>
          <w:i w:val="0"/>
          <w:smallCaps w:val="0"/>
          <w:strike w:val="0"/>
          <w:u w:val="none"/>
        </w:rPr>
        <w:t xml:space="preserve"> </w:t>
      </w:r>
      <w:r>
        <w:rPr>
          <w:b w:val="0"/>
          <w:i w:val="0"/>
          <w:smallCaps w:val="0"/>
          <w:strike w:val="0"/>
          <w:sz w:val="14"/>
          <w:u w:val="none"/>
        </w:rPr>
        <w:t xml:space="preserve">id., at 288, 73 </w:t>
      </w:r>
      <w:r>
        <w:rPr>
          <w:b w:val="0"/>
          <w:i w:val="0"/>
          <w:smallCaps w:val="0"/>
          <w:strike w:val="0"/>
          <w:sz w:val="14"/>
          <w:u w:val="none"/>
        </w:rPr>
        <w:t>S.Ct</w:t>
      </w:r>
      <w:r>
        <w:rPr>
          <w:b w:val="0"/>
          <w:i w:val="0"/>
          <w:smallCaps w:val="0"/>
          <w:strike w:val="0"/>
          <w:sz w:val="14"/>
          <w:u w:val="none"/>
        </w:rPr>
        <w:t>. 252</w:t>
      </w:r>
      <w:r>
        <w:rPr>
          <w:b w:val="0"/>
          <w:i w:val="0"/>
          <w:smallCaps w:val="0"/>
          <w:strike w:val="0"/>
          <w:u w:val="none"/>
        </w:rPr>
        <w:t xml:space="preserve"> </w:t>
      </w:r>
      <w:r>
        <w:rPr>
          <w:b w:val="0"/>
          <w:i w:val="0"/>
          <w:smallCaps w:val="0"/>
          <w:strike w:val="0"/>
          <w:u w:val="single"/>
        </w:rPr>
        <w:t>("[P]</w:t>
      </w:r>
      <w:r>
        <w:rPr>
          <w:b w:val="0"/>
          <w:i w:val="0"/>
          <w:smallCaps w:val="0"/>
          <w:strike w:val="0"/>
          <w:u w:val="single"/>
        </w:rPr>
        <w:t>etitioner</w:t>
      </w:r>
      <w:r>
        <w:rPr>
          <w:b w:val="0"/>
          <w:i w:val="0"/>
          <w:smallCaps w:val="0"/>
          <w:strike w:val="0"/>
          <w:u w:val="single"/>
        </w:rPr>
        <w:t xml:space="preserve"> by his `own </w:t>
      </w:r>
      <w:r>
        <w:rPr>
          <w:b w:val="0"/>
          <w:i w:val="0"/>
          <w:smallCaps w:val="0"/>
          <w:strike w:val="0"/>
          <w:highlight w:val="cyan"/>
          <w:u w:val="single"/>
        </w:rPr>
        <w:t>deliberate acts, here and elsewhere</w:t>
      </w:r>
      <w:r>
        <w:rPr>
          <w:b w:val="0"/>
          <w:i w:val="0"/>
          <w:smallCaps w:val="0"/>
          <w:strike w:val="0"/>
          <w:u w:val="single"/>
        </w:rPr>
        <w:t xml:space="preserve">, </w:t>
      </w:r>
      <w:r>
        <w:rPr>
          <w:b w:val="0"/>
          <w:i w:val="0"/>
          <w:smallCaps w:val="0"/>
          <w:strike w:val="0"/>
          <w:highlight w:val="cyan"/>
          <w:u w:val="single"/>
        </w:rPr>
        <w:t>brought about forbidden results within the United States</w:t>
      </w:r>
      <w:r>
        <w:rPr>
          <w:b w:val="0"/>
          <w:i w:val="0"/>
          <w:smallCaps w:val="0"/>
          <w:strike w:val="0"/>
          <w:u w:val="single"/>
        </w:rPr>
        <w:t>'"</w:t>
      </w:r>
      <w:r>
        <w:rPr>
          <w:b w:val="0"/>
          <w:i w:val="0"/>
          <w:smallCaps w:val="0"/>
          <w:strike w:val="0"/>
          <w:u w:val="none"/>
        </w:rPr>
        <w:t xml:space="preserve"> </w:t>
      </w:r>
      <w:r>
        <w:rPr>
          <w:b w:val="0"/>
          <w:i w:val="0"/>
          <w:smallCaps w:val="0"/>
          <w:strike w:val="0"/>
          <w:sz w:val="14"/>
          <w:u w:val="none"/>
        </w:rPr>
        <w:t>(alteration omitted))</w:t>
      </w:r>
      <w:r>
        <w:rPr>
          <w:b w:val="0"/>
          <w:i w:val="0"/>
          <w:smallCaps w:val="0"/>
          <w:strike w:val="0"/>
          <w:u w:val="none"/>
        </w:rPr>
        <w:t>.</w:t>
      </w:r>
    </w:p>
    <w:p>
      <w:pPr>
        <w:pStyle w:val="Caption"/>
      </w:pPr>
      <w:r>
        <w:t>Source: Topicality Supplement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