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Protection of domestic IPR includes extraterritorial violations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Phillips 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Gregory Alan Phillips,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American lawyer who serves as a United States circuit judge of the United States Court of Appeals for the Tenth Circuit and former Wyoming Attorney General,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April 23, 2024, </w:t>
      </w:r>
      <w:r>
        <w:rPr>
          <w:b w:val="0"/>
          <w:i w:val="0"/>
          <w:smallCaps w:val="0"/>
          <w:strike w:val="0"/>
          <w:sz w:val="16"/>
          <w:u w:val="none"/>
        </w:rPr>
        <w:t>“HETRONIC INTERNATIONAL, INC., Plaintiff-Appellee, v. HETRONIC GERMANY GMBH; HYDRONIC-STEUERSYSTEME GMBH; ABI HOLDING GMBH; ABITRON GERMANY GMBH; ABITRON AUSTRIA GMBH; ALBERT FUCHS, Defendants-Appellants.” Nos. 20-6057, 20-6100, United States Court of Appeals, Tenth Circuit,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Supreme Court granted </w:t>
      </w:r>
      <w:r>
        <w:rPr>
          <w:b w:val="0"/>
          <w:i w:val="0"/>
          <w:smallCaps w:val="0"/>
          <w:strike w:val="0"/>
          <w:u w:val="single"/>
        </w:rPr>
        <w:t>Abitron's</w:t>
      </w:r>
      <w:r>
        <w:rPr>
          <w:b w:val="0"/>
          <w:i w:val="0"/>
          <w:smallCaps w:val="0"/>
          <w:strike w:val="0"/>
          <w:u w:val="single"/>
        </w:rPr>
        <w:t xml:space="preserve"> petition. </w:t>
      </w:r>
      <w:r>
        <w:rPr>
          <w:b w:val="0"/>
          <w:i w:val="0"/>
          <w:smallCaps w:val="0"/>
          <w:strike w:val="0"/>
          <w:u w:val="single"/>
        </w:rPr>
        <w:t>Abitron</w:t>
      </w:r>
      <w:r>
        <w:rPr>
          <w:b w:val="0"/>
          <w:i w:val="0"/>
          <w:smallCaps w:val="0"/>
          <w:strike w:val="0"/>
          <w:u w:val="single"/>
        </w:rPr>
        <w:t xml:space="preserve"> Austria GmbH v. </w:t>
      </w:r>
      <w:r>
        <w:rPr>
          <w:b w:val="0"/>
          <w:i w:val="0"/>
          <w:smallCaps w:val="0"/>
          <w:strike w:val="0"/>
          <w:u w:val="single"/>
        </w:rPr>
        <w:t>Hetronic</w:t>
      </w:r>
      <w:r>
        <w:rPr>
          <w:b w:val="0"/>
          <w:i w:val="0"/>
          <w:smallCaps w:val="0"/>
          <w:strike w:val="0"/>
          <w:u w:val="single"/>
        </w:rPr>
        <w:t xml:space="preserve"> Int'l, Inc., 143 S. Ct. 398 (2022) (mem.). Considering the extraterritoriality of the Lanham Act for the first time since the 1950s,[1] the Court assessed whether the Lanham Act's trademark-infringement provisions apply to </w:t>
      </w:r>
      <w:r>
        <w:rPr>
          <w:b w:val="0"/>
          <w:i w:val="0"/>
          <w:smallCaps w:val="0"/>
          <w:strike w:val="0"/>
          <w:u w:val="single"/>
        </w:rPr>
        <w:t>Abitron's</w:t>
      </w:r>
      <w:r>
        <w:rPr>
          <w:b w:val="0"/>
          <w:i w:val="0"/>
          <w:smallCaps w:val="0"/>
          <w:strike w:val="0"/>
          <w:u w:val="single"/>
        </w:rPr>
        <w:t xml:space="preserve"> foreign infringing conduct. </w:t>
      </w:r>
      <w:r>
        <w:rPr>
          <w:b w:val="0"/>
          <w:i w:val="0"/>
          <w:smallCaps w:val="0"/>
          <w:strike w:val="0"/>
          <w:u w:val="single"/>
        </w:rPr>
        <w:t>Abitron</w:t>
      </w:r>
      <w:r>
        <w:rPr>
          <w:b w:val="0"/>
          <w:i w:val="0"/>
          <w:smallCaps w:val="0"/>
          <w:strike w:val="0"/>
          <w:u w:val="single"/>
        </w:rPr>
        <w:t xml:space="preserve">, 600 U.S. at 415. The Court held that the </w:t>
      </w:r>
      <w:r>
        <w:rPr>
          <w:b w:val="0"/>
          <w:i w:val="0"/>
          <w:smallCaps w:val="0"/>
          <w:strike w:val="0"/>
          <w:highlight w:val="cyan"/>
          <w:u w:val="single"/>
        </w:rPr>
        <w:t>provisions are not extraterritorial</w:t>
      </w:r>
      <w:r>
        <w:rPr>
          <w:b w:val="0"/>
          <w:i w:val="0"/>
          <w:smallCaps w:val="0"/>
          <w:strike w:val="0"/>
          <w:u w:val="single"/>
        </w:rPr>
        <w:t xml:space="preserve">, but that </w:t>
      </w:r>
      <w:r>
        <w:rPr>
          <w:b w:val="0"/>
          <w:i w:val="0"/>
          <w:smallCaps w:val="0"/>
          <w:strike w:val="0"/>
          <w:highlight w:val="cyan"/>
          <w:u w:val="single"/>
        </w:rPr>
        <w:t>they remain in force when a foreign entity uses an infringing mark in domestic commerce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