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 rights in patents only apply to patents filed in the US</w:t>
      </w:r>
    </w:p>
    <w:p>
      <w:pPr>
        <w:spacing w:after="80"/>
      </w:pPr>
      <w:r>
        <w:rPr>
          <w:b/>
          <w:i w:val="0"/>
          <w:smallCaps w:val="0"/>
          <w:strike w:val="0"/>
          <w:sz w:val="26"/>
          <w:u w:val="none"/>
        </w:rPr>
        <w:t>Chanda &amp; Gupta 24</w:t>
      </w:r>
      <w:r>
        <w:rPr>
          <w:b w:val="0"/>
          <w:i w:val="0"/>
          <w:smallCaps w:val="0"/>
          <w:strike w:val="0"/>
          <w:u w:val="none"/>
        </w:rPr>
        <w:t xml:space="preserve"> </w:t>
      </w:r>
      <w:r>
        <w:rPr>
          <w:b w:val="0"/>
          <w:i w:val="0"/>
          <w:smallCaps w:val="0"/>
          <w:strike w:val="0"/>
          <w:sz w:val="16"/>
          <w:u w:val="none"/>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Pr>
          <w:b w:val="0"/>
          <w:i/>
          <w:smallCaps w:val="0"/>
          <w:strike w:val="0"/>
          <w:sz w:val="16"/>
          <w:u w:val="none"/>
        </w:rPr>
        <w:t>Healthcare Entrepreneurship and Management: A Comprehensive Guide for Biomedical Engineers and Entrepreneurs</w:t>
      </w:r>
      <w:r>
        <w:rPr>
          <w:b w:val="0"/>
          <w:i w:val="0"/>
          <w:smallCaps w:val="0"/>
          <w:strike w:val="0"/>
          <w:sz w:val="16"/>
          <w:u w:val="none"/>
        </w:rPr>
        <w:t>, Chapter 17, “Introduction to Intellectual Property”,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u w:val="single"/>
        </w:rPr>
        <w:t xml:space="preserve">It is crucial to underscore that the ambit of </w:t>
      </w:r>
      <w:r>
        <w:rPr>
          <w:b w:val="0"/>
          <w:i w:val="0"/>
          <w:smallCaps w:val="0"/>
          <w:strike w:val="0"/>
          <w:highlight w:val="cyan"/>
          <w:u w:val="single"/>
        </w:rPr>
        <w:t>patent rights</w:t>
      </w:r>
      <w:r>
        <w:rPr>
          <w:b w:val="0"/>
          <w:i w:val="0"/>
          <w:smallCaps w:val="0"/>
          <w:strike w:val="0"/>
          <w:u w:val="single"/>
        </w:rPr>
        <w:t xml:space="preserve"> is </w:t>
      </w:r>
      <w:r>
        <w:rPr>
          <w:b w:val="0"/>
          <w:i w:val="0"/>
          <w:smallCaps w:val="0"/>
          <w:strike w:val="0"/>
          <w:highlight w:val="cyan"/>
          <w:u w:val="single"/>
        </w:rPr>
        <w:t xml:space="preserve">circumscribed by </w:t>
      </w:r>
      <w:r>
        <w:rPr>
          <w:b/>
          <w:i w:val="0"/>
          <w:smallCaps w:val="0"/>
          <w:strike w:val="0"/>
          <w:highlight w:val="cyan"/>
          <w:u w:val="single"/>
        </w:rPr>
        <w:t>territorial considerations</w:t>
      </w:r>
      <w:r>
        <w:rPr>
          <w:b w:val="0"/>
          <w:i w:val="0"/>
          <w:smallCaps w:val="0"/>
          <w:strike w:val="0"/>
          <w:u w:val="none"/>
        </w:rPr>
        <w:t xml:space="preserve">, </w:t>
      </w:r>
      <w:r>
        <w:rPr>
          <w:b w:val="0"/>
          <w:i w:val="0"/>
          <w:smallCaps w:val="0"/>
          <w:strike w:val="0"/>
          <w:u w:val="single"/>
        </w:rPr>
        <w:t xml:space="preserve">meaning that the </w:t>
      </w:r>
      <w:r>
        <w:rPr>
          <w:b w:val="0"/>
          <w:i w:val="0"/>
          <w:smallCaps w:val="0"/>
          <w:strike w:val="0"/>
          <w:highlight w:val="cyan"/>
          <w:u w:val="single"/>
        </w:rPr>
        <w:t>exclusive privileges are confined to the geographic boundaries of the country</w:t>
      </w:r>
      <w:r>
        <w:rPr>
          <w:b w:val="0"/>
          <w:i w:val="0"/>
          <w:smallCaps w:val="0"/>
          <w:strike w:val="0"/>
          <w:u w:val="single"/>
        </w:rPr>
        <w:t xml:space="preserve"> or region </w:t>
      </w:r>
      <w:r>
        <w:rPr>
          <w:b w:val="0"/>
          <w:i w:val="0"/>
          <w:smallCaps w:val="0"/>
          <w:strike w:val="0"/>
          <w:highlight w:val="cyan"/>
          <w:u w:val="single"/>
        </w:rPr>
        <w:t>where the patent has undergone formal filing</w:t>
      </w:r>
      <w:r>
        <w:rPr>
          <w:b w:val="0"/>
          <w:i w:val="0"/>
          <w:smallCaps w:val="0"/>
          <w:strike w:val="0"/>
          <w:u w:val="single"/>
        </w:rPr>
        <w:t xml:space="preserve"> and approval, adhering to the legal norms of that specific jurisdiction</w:t>
      </w:r>
      <w:r>
        <w:rPr>
          <w:b w:val="0"/>
          <w:i w:val="0"/>
          <w:smallCaps w:val="0"/>
          <w:strike w:val="0"/>
          <w:u w:val="none"/>
        </w:rPr>
        <w:t>.</w:t>
      </w:r>
      <w:r>
        <w:rPr>
          <w:b w:val="0"/>
          <w:i w:val="0"/>
          <w:smallCaps w:val="0"/>
          <w:strike w:val="0"/>
          <w:u w:val="none"/>
        </w:rPr>
        <w:t xml:space="preserve"> </w:t>
      </w:r>
      <w:r>
        <w:rPr>
          <w:b w:val="0"/>
          <w:i w:val="0"/>
          <w:smallCaps w:val="0"/>
          <w:strike w:val="0"/>
          <w:u w:val="single"/>
        </w:rPr>
        <w:t xml:space="preserve">This protective jurisdictional framework is not perpetual; rather, it is </w:t>
      </w:r>
      <w:r>
        <w:rPr>
          <w:b w:val="0"/>
          <w:i w:val="0"/>
          <w:smallCaps w:val="0"/>
          <w:strike w:val="0"/>
          <w:highlight w:val="cyan"/>
          <w:u w:val="single"/>
        </w:rPr>
        <w:t>conferred for a finite period</w:t>
      </w:r>
      <w:r>
        <w:rPr>
          <w:b w:val="0"/>
          <w:i w:val="0"/>
          <w:smallCaps w:val="0"/>
          <w:strike w:val="0"/>
          <w:u w:val="single"/>
        </w:rPr>
        <w:t xml:space="preserve">, </w:t>
      </w:r>
      <w:r>
        <w:rPr>
          <w:b w:val="0"/>
          <w:i w:val="0"/>
          <w:smallCaps w:val="0"/>
          <w:strike w:val="0"/>
          <w:highlight w:val="cyan"/>
          <w:u w:val="single"/>
        </w:rPr>
        <w:t>typically</w:t>
      </w:r>
      <w:r>
        <w:rPr>
          <w:b w:val="0"/>
          <w:i w:val="0"/>
          <w:smallCaps w:val="0"/>
          <w:strike w:val="0"/>
          <w:u w:val="single"/>
        </w:rPr>
        <w:t xml:space="preserve"> spanning </w:t>
      </w:r>
      <w:r>
        <w:rPr>
          <w:b w:val="0"/>
          <w:i w:val="0"/>
          <w:smallCaps w:val="0"/>
          <w:strike w:val="0"/>
          <w:highlight w:val="cyan"/>
          <w:u w:val="single"/>
        </w:rPr>
        <w:t>20 years</w:t>
      </w:r>
      <w:r>
        <w:rPr>
          <w:b w:val="0"/>
          <w:i w:val="0"/>
          <w:smallCaps w:val="0"/>
          <w:strike w:val="0"/>
          <w:u w:val="single"/>
        </w:rPr>
        <w:t xml:space="preserve"> from the date of submitting the patent application.</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