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Trademarks include non-English text</w:t>
      </w:r>
    </w:p>
    <w:p>
      <w:pPr>
        <w:spacing w:after="80"/>
      </w:pPr>
      <w:r>
        <w:rPr>
          <w:b/>
          <w:i w:val="0"/>
          <w:smallCaps w:val="0"/>
          <w:strike w:val="0"/>
          <w:sz w:val="26"/>
          <w:u w:val="none"/>
        </w:rPr>
        <w:t>D</w:t>
      </w:r>
      <w:r>
        <w:rPr>
          <w:b/>
          <w:i w:val="0"/>
          <w:smallCaps w:val="0"/>
          <w:strike w:val="0"/>
          <w:sz w:val="26"/>
          <w:u w:val="none"/>
        </w:rPr>
        <w:t>yk 09</w:t>
      </w:r>
      <w:r>
        <w:rPr>
          <w:b w:val="0"/>
          <w:i w:val="0"/>
          <w:smallCaps w:val="0"/>
          <w:strike w:val="0"/>
          <w:u w:val="none"/>
        </w:rPr>
        <w:t xml:space="preserve"> </w:t>
      </w:r>
      <w:r>
        <w:rPr>
          <w:b w:val="0"/>
          <w:i w:val="0"/>
          <w:smallCaps w:val="0"/>
          <w:strike w:val="0"/>
          <w:sz w:val="16"/>
          <w:u w:val="none"/>
        </w:rPr>
        <w:t>[</w:t>
      </w:r>
      <w:r>
        <w:rPr>
          <w:b w:val="0"/>
          <w:i w:val="0"/>
          <w:smallCaps w:val="0"/>
          <w:strike w:val="0"/>
          <w:sz w:val="16"/>
          <w:u w:val="none"/>
        </w:rPr>
        <w:t xml:space="preserve">Timothy Belcher Dyk, United States circuit judge of the United States Court of Appeals for the Federal Circuit, </w:t>
      </w:r>
      <w:r>
        <w:rPr>
          <w:b w:val="0"/>
          <w:i w:val="0"/>
          <w:smallCaps w:val="0"/>
          <w:strike w:val="0"/>
          <w:sz w:val="16"/>
          <w:u w:val="none"/>
        </w:rPr>
        <w:t>“In re SPIRITS INTERNATIONAL, N.V.</w:t>
      </w:r>
      <w:r>
        <w:rPr>
          <w:b w:val="0"/>
          <w:i w:val="0"/>
          <w:smallCaps w:val="0"/>
          <w:strike w:val="0"/>
          <w:sz w:val="16"/>
          <w:u w:val="none"/>
        </w:rPr>
        <w:t>”,</w:t>
      </w:r>
      <w:r>
        <w:rPr>
          <w:b w:val="0"/>
          <w:i w:val="0"/>
          <w:smallCaps w:val="0"/>
          <w:strike w:val="0"/>
          <w:sz w:val="16"/>
          <w:u w:val="none"/>
        </w:rPr>
        <w:t xml:space="preserve"> No. 2008-1369</w:t>
      </w:r>
      <w:r>
        <w:rPr>
          <w:b w:val="0"/>
          <w:i w:val="0"/>
          <w:smallCaps w:val="0"/>
          <w:strike w:val="0"/>
          <w:sz w:val="16"/>
          <w:u w:val="none"/>
        </w:rPr>
        <w:t>,</w:t>
      </w:r>
      <w:r>
        <w:rPr>
          <w:b w:val="0"/>
          <w:i w:val="0"/>
          <w:smallCaps w:val="0"/>
          <w:strike w:val="0"/>
          <w:sz w:val="16"/>
          <w:u w:val="none"/>
        </w:rPr>
        <w:t xml:space="preserve"> United States Court of Appeals, Federal Circuit</w:t>
      </w:r>
      <w:r>
        <w:rPr>
          <w:b w:val="0"/>
          <w:i w:val="0"/>
          <w:smallCaps w:val="0"/>
          <w:strike w:val="0"/>
          <w:sz w:val="16"/>
          <w:u w:val="none"/>
        </w:rPr>
        <w:t>,</w:t>
      </w:r>
      <w:r>
        <w:rPr>
          <w:b w:val="0"/>
          <w:i w:val="0"/>
          <w:smallCaps w:val="0"/>
          <w:strike w:val="0"/>
          <w:sz w:val="16"/>
          <w:u w:val="none"/>
        </w:rPr>
        <w:t xml:space="preserve"> April 29, 2009</w:t>
      </w:r>
      <w:r>
        <w:rPr>
          <w:b w:val="0"/>
          <w:i w:val="0"/>
          <w:smallCaps w:val="0"/>
          <w:strike w:val="0"/>
          <w:sz w:val="16"/>
          <w:u w:val="none"/>
        </w:rPr>
        <w:t>,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One aspect of </w:t>
      </w:r>
      <w:r>
        <w:rPr>
          <w:b w:val="0"/>
          <w:i w:val="0"/>
          <w:smallCaps w:val="0"/>
          <w:strike w:val="0"/>
          <w:highlight w:val="cyan"/>
          <w:u w:val="single"/>
        </w:rPr>
        <w:t>the doctrine of foreign equivalents</w:t>
      </w:r>
      <w:r>
        <w:rPr>
          <w:b w:val="0"/>
          <w:i w:val="0"/>
          <w:smallCaps w:val="0"/>
          <w:strike w:val="0"/>
          <w:u w:val="single"/>
        </w:rPr>
        <w:t xml:space="preserve"> generally </w:t>
      </w:r>
      <w:r>
        <w:rPr>
          <w:b w:val="0"/>
          <w:i w:val="0"/>
          <w:smallCaps w:val="0"/>
          <w:strike w:val="0"/>
          <w:highlight w:val="cyan"/>
          <w:u w:val="single"/>
        </w:rPr>
        <w:t>requires considering the meaning of a mark in a non-English language to the speakers of that language</w:t>
      </w:r>
      <w:r>
        <w:rPr>
          <w:b w:val="0"/>
          <w:i w:val="0"/>
          <w:smallCaps w:val="0"/>
          <w:strike w:val="0"/>
          <w:u w:val="none"/>
        </w:rPr>
        <w:t xml:space="preserve">. </w:t>
      </w:r>
      <w:r>
        <w:rPr>
          <w:b w:val="0"/>
          <w:i w:val="0"/>
          <w:smallCaps w:val="0"/>
          <w:strike w:val="0"/>
          <w:u w:val="single"/>
        </w:rPr>
        <w:t>As we stated in Palm Bay, "[u]</w:t>
      </w:r>
      <w:r>
        <w:rPr>
          <w:b w:val="0"/>
          <w:i w:val="0"/>
          <w:smallCaps w:val="0"/>
          <w:strike w:val="0"/>
          <w:u w:val="single"/>
        </w:rPr>
        <w:t>nder</w:t>
      </w:r>
      <w:r>
        <w:rPr>
          <w:b w:val="0"/>
          <w:i w:val="0"/>
          <w:smallCaps w:val="0"/>
          <w:strike w:val="0"/>
          <w:u w:val="single"/>
        </w:rPr>
        <w:t xml:space="preserve"> the doctrine of foreign equivalents, </w:t>
      </w:r>
      <w:r>
        <w:rPr>
          <w:b w:val="0"/>
          <w:i w:val="0"/>
          <w:smallCaps w:val="0"/>
          <w:strike w:val="0"/>
          <w:highlight w:val="cyan"/>
          <w:u w:val="single"/>
        </w:rPr>
        <w:t>foreign words</w:t>
      </w:r>
      <w:r>
        <w:rPr>
          <w:b w:val="0"/>
          <w:i w:val="0"/>
          <w:smallCaps w:val="0"/>
          <w:strike w:val="0"/>
          <w:u w:val="single"/>
        </w:rPr>
        <w:t xml:space="preserve"> from common languages </w:t>
      </w:r>
      <w:r>
        <w:rPr>
          <w:b w:val="0"/>
          <w:i w:val="0"/>
          <w:smallCaps w:val="0"/>
          <w:strike w:val="0"/>
          <w:highlight w:val="cyan"/>
          <w:u w:val="single"/>
        </w:rPr>
        <w:t>are translated into English</w:t>
      </w:r>
      <w:r>
        <w:rPr>
          <w:b w:val="0"/>
          <w:i w:val="0"/>
          <w:smallCaps w:val="0"/>
          <w:strike w:val="0"/>
          <w:u w:val="single"/>
        </w:rPr>
        <w:t xml:space="preserve">...." </w:t>
      </w:r>
      <w:r>
        <w:rPr>
          <w:b w:val="0"/>
          <w:i w:val="0"/>
          <w:smallCaps w:val="0"/>
          <w:strike w:val="0"/>
          <w:sz w:val="14"/>
          <w:u w:val="none"/>
        </w:rPr>
        <w:t xml:space="preserve">Palm Bay Imps., Inc. v. Veuve </w:t>
      </w:r>
      <w:r>
        <w:rPr>
          <w:b w:val="0"/>
          <w:i w:val="0"/>
          <w:smallCaps w:val="0"/>
          <w:strike w:val="0"/>
          <w:sz w:val="14"/>
          <w:u w:val="none"/>
        </w:rPr>
        <w:t>Clicquot</w:t>
      </w:r>
      <w:r>
        <w:rPr>
          <w:b w:val="0"/>
          <w:i w:val="0"/>
          <w:smallCaps w:val="0"/>
          <w:strike w:val="0"/>
          <w:sz w:val="14"/>
          <w:u w:val="none"/>
        </w:rPr>
        <w:t xml:space="preserve"> </w:t>
      </w:r>
      <w:r>
        <w:rPr>
          <w:b w:val="0"/>
          <w:i w:val="0"/>
          <w:smallCaps w:val="0"/>
          <w:strike w:val="0"/>
          <w:sz w:val="14"/>
          <w:u w:val="none"/>
        </w:rPr>
        <w:t>Ponsardin</w:t>
      </w:r>
      <w:r>
        <w:rPr>
          <w:b w:val="0"/>
          <w:i w:val="0"/>
          <w:smallCaps w:val="0"/>
          <w:strike w:val="0"/>
          <w:sz w:val="14"/>
          <w:u w:val="none"/>
        </w:rPr>
        <w:t xml:space="preserve"> Maison </w:t>
      </w:r>
      <w:r>
        <w:rPr>
          <w:b w:val="0"/>
          <w:i w:val="0"/>
          <w:smallCaps w:val="0"/>
          <w:strike w:val="0"/>
          <w:sz w:val="14"/>
          <w:u w:val="none"/>
        </w:rPr>
        <w:t>Fondee</w:t>
      </w:r>
      <w:r>
        <w:rPr>
          <w:b w:val="0"/>
          <w:i w:val="0"/>
          <w:smallCaps w:val="0"/>
          <w:strike w:val="0"/>
          <w:sz w:val="14"/>
          <w:u w:val="none"/>
        </w:rPr>
        <w:t xml:space="preserve"> </w:t>
      </w:r>
      <w:r>
        <w:rPr>
          <w:b w:val="0"/>
          <w:i w:val="0"/>
          <w:smallCaps w:val="0"/>
          <w:strike w:val="0"/>
          <w:sz w:val="14"/>
          <w:u w:val="none"/>
        </w:rPr>
        <w:t>en</w:t>
      </w:r>
      <w:r>
        <w:rPr>
          <w:b w:val="0"/>
          <w:i w:val="0"/>
          <w:smallCaps w:val="0"/>
          <w:strike w:val="0"/>
          <w:sz w:val="14"/>
          <w:u w:val="none"/>
        </w:rPr>
        <w:t xml:space="preserve"> 1772, 396 F.3d 1369, 1377 (Fed.Cir.2005); In re N. Paper Mills, 20 C.C.P.A. 1109, 64 F.2d 998, 998-99 (CCPA 1933). The doctrine has been summarized in a leading trademark treatise in the context of determining whether a mark is descriptive (or geographically descriptive) under subsections (e)(1) and (e)(2) of the statutory section governing registration: Under the "doctrine of foreign equivalents," foreign words are translated into English.... However, the "doctrine of foreign equivalents" is not an absolute rule, for it does not mean that words from dead or obscure languages are to be literally translated into English for descriptive purposes. 2 J. Thomas McCarthy, McCarthy on Trademarks and Unfair Competition § 11:34 (4th ed.2009) (hereinafter "McCarthy") (footnotes omitted). The parties do not dispute this general requirement of translation under the doctrine of foreign equivalents. Nor do we. We also note that there is a threshold limitation on the application of the doctrine of foreign equivalents, as discussed in Palm Bay, 396 F.3d at 1377. In Palm Bay, we noted that the doctrine of foreign equivalents applies only in those situations where the ordinary American consumer would stop and translate the mark into English: Although words from modern languages are generally translated into English, the doctrine of foreign equivalents is not 1352*1352 an absolute rule and should be viewed merely as a guideline. The doctrine should be applied only when it is likely that the ordinary American purchaser would stop and translate the word into its English equivalent. Id. (emphases added, citations, quotation marks, and alteration omitted).</w:t>
      </w:r>
      <w:r>
        <w:rPr>
          <w:b w:val="0"/>
          <w:i w:val="0"/>
          <w:smallCaps w:val="0"/>
          <w:strike w:val="0"/>
          <w:u w:val="none"/>
        </w:rPr>
        <w:t xml:space="preserve"> </w:t>
      </w:r>
      <w:r>
        <w:rPr>
          <w:b w:val="0"/>
          <w:i w:val="0"/>
          <w:smallCaps w:val="0"/>
          <w:strike w:val="0"/>
          <w:highlight w:val="cyan"/>
          <w:u w:val="single"/>
        </w:rPr>
        <w:t>The "ordinary American purchaser" is not limited to only those</w:t>
      </w:r>
      <w:r>
        <w:rPr>
          <w:b w:val="0"/>
          <w:i w:val="0"/>
          <w:smallCaps w:val="0"/>
          <w:strike w:val="0"/>
          <w:u w:val="single"/>
        </w:rPr>
        <w:t xml:space="preserve"> consumers </w:t>
      </w:r>
      <w:r>
        <w:rPr>
          <w:b w:val="0"/>
          <w:i w:val="0"/>
          <w:smallCaps w:val="0"/>
          <w:strike w:val="0"/>
          <w:highlight w:val="cyan"/>
          <w:u w:val="single"/>
        </w:rPr>
        <w:t>unfamiliar with non-English languages</w:t>
      </w:r>
      <w:r>
        <w:rPr>
          <w:b w:val="0"/>
          <w:i w:val="0"/>
          <w:smallCaps w:val="0"/>
          <w:strike w:val="0"/>
          <w:u w:val="single"/>
        </w:rPr>
        <w:t>; rather, the term includes all American purchasers, including those proficient in a non-English language who would ordinarily be expected to translate words into English.</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