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mere </w:t>
      </w:r>
      <w:r>
        <w:rPr>
          <w:b/>
          <w:i w:val="0"/>
          <w:smallCaps w:val="0"/>
          <w:strike w:val="0"/>
          <w:sz w:val="26"/>
          <w:u w:val="single"/>
        </w:rPr>
        <w:t>connection</w:t>
      </w:r>
      <w:r>
        <w:rPr>
          <w:b/>
          <w:i w:val="0"/>
          <w:smallCaps w:val="0"/>
          <w:strike w:val="0"/>
          <w:sz w:val="26"/>
          <w:u w:val="none"/>
        </w:rPr>
        <w:t xml:space="preserve"> to marijuana causes trademark applications to be </w:t>
      </w:r>
      <w:r>
        <w:rPr>
          <w:b/>
          <w:i w:val="0"/>
          <w:smallCaps w:val="0"/>
          <w:strike w:val="0"/>
          <w:sz w:val="26"/>
          <w:u w:val="single"/>
        </w:rPr>
        <w:t>denied</w:t>
      </w:r>
      <w:r>
        <w:rPr>
          <w:b/>
          <w:i w:val="0"/>
          <w:smallCaps w:val="0"/>
          <w:strike w:val="0"/>
          <w:sz w:val="26"/>
          <w:u w:val="none"/>
        </w:rPr>
        <w:t xml:space="preserve">---the USPTO will </w:t>
      </w:r>
      <w:r>
        <w:rPr>
          <w:b/>
          <w:i w:val="0"/>
          <w:smallCaps w:val="0"/>
          <w:strike w:val="0"/>
          <w:sz w:val="26"/>
          <w:u w:val="single"/>
        </w:rPr>
        <w:t>follow</w:t>
      </w:r>
      <w:r>
        <w:rPr>
          <w:b/>
          <w:i w:val="0"/>
          <w:smallCaps w:val="0"/>
          <w:strike w:val="0"/>
          <w:sz w:val="26"/>
          <w:u w:val="none"/>
        </w:rPr>
        <w:t xml:space="preserve"> Congress’s mandate to the </w:t>
      </w:r>
      <w:r>
        <w:rPr>
          <w:b/>
          <w:i w:val="0"/>
          <w:smallCaps w:val="0"/>
          <w:strike w:val="0"/>
          <w:sz w:val="26"/>
          <w:u w:val="single"/>
        </w:rPr>
        <w:t>tooth</w:t>
      </w:r>
      <w:r>
        <w:rPr>
          <w:b/>
          <w:i w:val="0"/>
          <w:smallCaps w:val="0"/>
          <w:strike w:val="0"/>
          <w:sz w:val="26"/>
          <w:u w:val="none"/>
        </w:rPr>
        <w:t xml:space="preserve"> and </w:t>
      </w:r>
      <w:r>
        <w:rPr>
          <w:b/>
          <w:i w:val="0"/>
          <w:smallCaps w:val="0"/>
          <w:strike w:val="0"/>
          <w:sz w:val="26"/>
          <w:u w:val="single"/>
        </w:rPr>
        <w:t>nail</w:t>
      </w:r>
      <w:r>
        <w:rPr>
          <w:b/>
          <w:i w:val="0"/>
          <w:smallCaps w:val="0"/>
          <w:strike w:val="0"/>
          <w:sz w:val="26"/>
          <w:u w:val="none"/>
        </w:rPr>
        <w:t xml:space="preserve">. </w:t>
      </w:r>
      <w:r>
        <w:rPr>
          <w:b/>
          <w:i w:val="0"/>
          <w:smallCaps w:val="0"/>
          <w:strike w:val="0"/>
          <w:sz w:val="26"/>
          <w:u w:val="none"/>
        </w:rPr>
        <w:t xml:space="preserve">Only legalization </w:t>
      </w:r>
      <w:r>
        <w:rPr>
          <w:b/>
          <w:i w:val="0"/>
          <w:smallCaps w:val="0"/>
          <w:strike w:val="0"/>
          <w:sz w:val="26"/>
          <w:u w:val="single"/>
        </w:rPr>
        <w:t>solves</w:t>
      </w:r>
      <w:r>
        <w:rPr>
          <w:b/>
          <w:i w:val="0"/>
          <w:smallCaps w:val="0"/>
          <w:strike w:val="0"/>
          <w:sz w:val="26"/>
          <w:u w:val="none"/>
        </w:rPr>
        <w:t xml:space="preserve">. </w:t>
      </w:r>
    </w:p>
    <w:p>
      <w:pPr>
        <w:spacing w:after="80"/>
      </w:pPr>
      <w:r>
        <w:rPr>
          <w:b w:val="0"/>
          <w:i w:val="0"/>
          <w:smallCaps w:val="0"/>
          <w:strike w:val="0"/>
          <w:u w:val="none"/>
        </w:rPr>
        <w:t xml:space="preserve">Dustin </w:t>
      </w:r>
      <w:r>
        <w:rPr>
          <w:b/>
          <w:i w:val="0"/>
          <w:smallCaps w:val="0"/>
          <w:strike w:val="0"/>
          <w:sz w:val="26"/>
          <w:u w:val="none"/>
        </w:rPr>
        <w:t>Boone 20</w:t>
      </w:r>
      <w:r>
        <w:rPr>
          <w:b w:val="0"/>
          <w:i w:val="0"/>
          <w:smallCaps w:val="0"/>
          <w:strike w:val="0"/>
          <w:u w:val="none"/>
        </w:rPr>
        <w:t xml:space="preserve">, Senior Notes Editor of Cardozo Arts &amp; Entertainment Law Journal, JD from Benjamin N. Cardozo School of Law, MPH in Health Management from Columbia, BS in Biological Sciences from the University of Southern Mississippi, “Puff, Puff, Patent: Identifying and Addressing the Tensions between the Medical Marijuana Industry, Patent Law, and the Controlled Substances Act,” </w:t>
      </w:r>
      <w:r>
        <w:rPr>
          <w:b w:val="0"/>
          <w:i/>
          <w:smallCaps w:val="0"/>
          <w:strike w:val="0"/>
          <w:u w:val="none"/>
        </w:rPr>
        <w:t>Cardozo Arts &amp; Entertainment Law Journal</w:t>
      </w:r>
      <w:r>
        <w:rPr>
          <w:b w:val="0"/>
          <w:i w:val="0"/>
          <w:smallCaps w:val="0"/>
          <w:strike w:val="0"/>
          <w:u w:val="none"/>
        </w:rPr>
        <w:t>, 38(2), pp. 484-486, Lexis, kav</w:t>
      </w:r>
    </w:p>
    <w:p>
      <w:pPr>
        <w:spacing w:after="60"/>
      </w:pPr>
      <w:r>
        <w:rPr>
          <w:b w:val="0"/>
          <w:i w:val="0"/>
          <w:smallCaps w:val="0"/>
          <w:strike w:val="0"/>
          <w:sz w:val="16"/>
          <w:u w:val="none"/>
        </w:rPr>
        <w:t xml:space="preserve">A trademark is "any word, name, symbol, or device, or any combination thereof" that is used "to identify and distinguish" an individual's or a business's product or service from those sold or provided by others, and "to indicate the source of the goods ... ." 84 [*485] </w:t>
      </w:r>
      <w:r>
        <w:rPr>
          <w:b w:val="0"/>
          <w:i w:val="0"/>
          <w:smallCaps w:val="0"/>
          <w:strike w:val="0"/>
          <w:sz w:val="22"/>
          <w:highlight w:val="cyan"/>
          <w:u w:val="single"/>
        </w:rPr>
        <w:t>Congress</w:t>
      </w:r>
      <w:r>
        <w:rPr>
          <w:b w:val="0"/>
          <w:i w:val="0"/>
          <w:smallCaps w:val="0"/>
          <w:strike w:val="0"/>
          <w:sz w:val="22"/>
          <w:u w:val="single"/>
        </w:rPr>
        <w:t xml:space="preserve">, acting </w:t>
      </w:r>
      <w:r>
        <w:rPr>
          <w:b/>
          <w:i w:val="0"/>
          <w:smallCaps w:val="0"/>
          <w:strike w:val="0"/>
          <w:sz w:val="22"/>
          <w:highlight w:val="cyan"/>
          <w:u w:val="single"/>
        </w:rPr>
        <w:t>pursuant</w:t>
      </w:r>
      <w:r>
        <w:rPr>
          <w:b w:val="0"/>
          <w:i w:val="0"/>
          <w:smallCaps w:val="0"/>
          <w:strike w:val="0"/>
          <w:sz w:val="22"/>
          <w:highlight w:val="cyan"/>
          <w:u w:val="single"/>
        </w:rPr>
        <w:t xml:space="preserve"> to </w:t>
      </w:r>
      <w:r>
        <w:rPr>
          <w:b w:val="0"/>
          <w:i w:val="0"/>
          <w:smallCaps w:val="0"/>
          <w:strike w:val="0"/>
          <w:sz w:val="22"/>
          <w:u w:val="single"/>
        </w:rPr>
        <w:t xml:space="preserve">its </w:t>
      </w:r>
      <w:r>
        <w:rPr>
          <w:b w:val="0"/>
          <w:i w:val="0"/>
          <w:smallCaps w:val="0"/>
          <w:strike w:val="0"/>
          <w:sz w:val="22"/>
          <w:highlight w:val="cyan"/>
          <w:u w:val="single"/>
        </w:rPr>
        <w:t>Commerce Clause</w:t>
      </w:r>
      <w:r>
        <w:rPr>
          <w:b w:val="0"/>
          <w:i w:val="0"/>
          <w:smallCaps w:val="0"/>
          <w:strike w:val="0"/>
          <w:sz w:val="22"/>
          <w:u w:val="single"/>
        </w:rPr>
        <w:t xml:space="preserve"> powers,</w:t>
      </w:r>
      <w:r>
        <w:rPr>
          <w:b w:val="0"/>
          <w:i w:val="0"/>
          <w:smallCaps w:val="0"/>
          <w:strike w:val="0"/>
          <w:sz w:val="16"/>
          <w:u w:val="none"/>
        </w:rPr>
        <w:t xml:space="preserve"> 85 </w:t>
      </w:r>
      <w:r>
        <w:rPr>
          <w:b w:val="0"/>
          <w:i w:val="0"/>
          <w:smallCaps w:val="0"/>
          <w:strike w:val="0"/>
          <w:sz w:val="22"/>
          <w:u w:val="single"/>
        </w:rPr>
        <w:t xml:space="preserve">has </w:t>
      </w:r>
      <w:r>
        <w:rPr>
          <w:b w:val="0"/>
          <w:i w:val="0"/>
          <w:smallCaps w:val="0"/>
          <w:strike w:val="0"/>
          <w:sz w:val="22"/>
          <w:highlight w:val="cyan"/>
          <w:u w:val="single"/>
        </w:rPr>
        <w:t>granted the USPTO</w:t>
      </w:r>
      <w:r>
        <w:rPr>
          <w:b w:val="0"/>
          <w:i w:val="0"/>
          <w:smallCaps w:val="0"/>
          <w:strike w:val="0"/>
          <w:sz w:val="22"/>
          <w:u w:val="single"/>
        </w:rPr>
        <w:t xml:space="preserve"> the </w:t>
      </w:r>
      <w:r>
        <w:rPr>
          <w:b w:val="0"/>
          <w:i w:val="0"/>
          <w:smallCaps w:val="0"/>
          <w:strike w:val="0"/>
          <w:sz w:val="22"/>
          <w:highlight w:val="cyan"/>
          <w:u w:val="single"/>
        </w:rPr>
        <w:t>authority to</w:t>
      </w:r>
      <w:r>
        <w:rPr>
          <w:b w:val="0"/>
          <w:i w:val="0"/>
          <w:smallCaps w:val="0"/>
          <w:strike w:val="0"/>
          <w:sz w:val="22"/>
          <w:u w:val="single"/>
        </w:rPr>
        <w:t xml:space="preserve"> register </w:t>
      </w:r>
      <w:r>
        <w:rPr>
          <w:b/>
          <w:i w:val="0"/>
          <w:smallCaps w:val="0"/>
          <w:strike w:val="0"/>
          <w:sz w:val="22"/>
          <w:u w:val="single"/>
        </w:rPr>
        <w:t xml:space="preserve">federal </w:t>
      </w:r>
      <w:r>
        <w:rPr>
          <w:b/>
          <w:i w:val="0"/>
          <w:smallCaps w:val="0"/>
          <w:strike w:val="0"/>
          <w:sz w:val="22"/>
          <w:highlight w:val="cyan"/>
          <w:u w:val="single"/>
        </w:rPr>
        <w:t>trademarks</w:t>
      </w:r>
      <w:r>
        <w:rPr>
          <w:b w:val="0"/>
          <w:i w:val="0"/>
          <w:smallCaps w:val="0"/>
          <w:strike w:val="0"/>
          <w:sz w:val="22"/>
          <w:u w:val="single"/>
        </w:rPr>
        <w:t xml:space="preserve"> through the Lanham Act.</w:t>
      </w:r>
      <w:r>
        <w:rPr>
          <w:b w:val="0"/>
          <w:i w:val="0"/>
          <w:smallCaps w:val="0"/>
          <w:strike w:val="0"/>
          <w:sz w:val="16"/>
          <w:u w:val="none"/>
        </w:rPr>
        <w:t xml:space="preserve"> 86In order to receive federal trademark protection, one must make use of the trademark in U.S. commerce, 87but with one daunting caveat: "Commerce," for purposes of the Lanham Act, "means all commerce which may lawfully be regulated </w:t>
      </w:r>
      <w:r>
        <w:rPr>
          <w:b w:val="0"/>
          <w:i w:val="0"/>
          <w:smallCaps w:val="0"/>
          <w:strike w:val="0"/>
          <w:sz w:val="16"/>
          <w:u w:val="none"/>
        </w:rPr>
        <w:t xml:space="preserve">by Congress." 88Hence, </w:t>
      </w:r>
      <w:r>
        <w:rPr>
          <w:b w:val="0"/>
          <w:i w:val="0"/>
          <w:smallCaps w:val="0"/>
          <w:strike w:val="0"/>
          <w:sz w:val="22"/>
          <w:highlight w:val="cyan"/>
          <w:u w:val="single"/>
        </w:rPr>
        <w:t>before</w:t>
      </w:r>
      <w:r>
        <w:rPr>
          <w:b w:val="0"/>
          <w:i w:val="0"/>
          <w:smallCaps w:val="0"/>
          <w:strike w:val="0"/>
          <w:sz w:val="22"/>
          <w:u w:val="single"/>
        </w:rPr>
        <w:t xml:space="preserve"> the USPTO will issue a </w:t>
      </w:r>
      <w:r>
        <w:rPr>
          <w:b w:val="0"/>
          <w:i w:val="0"/>
          <w:smallCaps w:val="0"/>
          <w:strike w:val="0"/>
          <w:sz w:val="22"/>
          <w:highlight w:val="cyan"/>
          <w:u w:val="single"/>
        </w:rPr>
        <w:t>registration</w:t>
      </w:r>
      <w:r>
        <w:rPr>
          <w:b w:val="0"/>
          <w:i w:val="0"/>
          <w:smallCaps w:val="0"/>
          <w:strike w:val="0"/>
          <w:sz w:val="22"/>
          <w:u w:val="single"/>
        </w:rPr>
        <w:t xml:space="preserve"> for a trademark, </w:t>
      </w:r>
      <w:r>
        <w:rPr>
          <w:b w:val="0"/>
          <w:i w:val="0"/>
          <w:smallCaps w:val="0"/>
          <w:strike w:val="0"/>
          <w:sz w:val="22"/>
          <w:highlight w:val="cyan"/>
          <w:u w:val="single"/>
        </w:rPr>
        <w:t>an applicant must show</w:t>
      </w:r>
      <w:r>
        <w:rPr>
          <w:b w:val="0"/>
          <w:i w:val="0"/>
          <w:smallCaps w:val="0"/>
          <w:strike w:val="0"/>
          <w:sz w:val="22"/>
          <w:u w:val="single"/>
        </w:rPr>
        <w:t xml:space="preserve"> that </w:t>
      </w: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2"/>
          <w:u w:val="single"/>
        </w:rPr>
        <w:t>current</w:t>
      </w:r>
      <w:r>
        <w:rPr>
          <w:b w:val="0"/>
          <w:i w:val="0"/>
          <w:smallCaps w:val="0"/>
          <w:strike w:val="0"/>
          <w:sz w:val="22"/>
          <w:u w:val="single"/>
        </w:rPr>
        <w:t xml:space="preserve"> or </w:t>
      </w:r>
      <w:r>
        <w:rPr>
          <w:b/>
          <w:i w:val="0"/>
          <w:smallCaps w:val="0"/>
          <w:strike w:val="0"/>
          <w:sz w:val="22"/>
          <w:u w:val="single"/>
        </w:rPr>
        <w:t>intended</w:t>
      </w:r>
      <w:r>
        <w:rPr>
          <w:b w:val="0"/>
          <w:i w:val="0"/>
          <w:smallCaps w:val="0"/>
          <w:strike w:val="0"/>
          <w:sz w:val="22"/>
          <w:u w:val="single"/>
        </w:rPr>
        <w:t xml:space="preserve"> </w:t>
      </w:r>
      <w:r>
        <w:rPr>
          <w:b w:val="0"/>
          <w:i w:val="0"/>
          <w:smallCaps w:val="0"/>
          <w:strike w:val="0"/>
          <w:sz w:val="22"/>
          <w:highlight w:val="cyan"/>
          <w:u w:val="single"/>
        </w:rPr>
        <w:t>use</w:t>
      </w:r>
      <w:r>
        <w:rPr>
          <w:b w:val="0"/>
          <w:i w:val="0"/>
          <w:smallCaps w:val="0"/>
          <w:strike w:val="0"/>
          <w:sz w:val="22"/>
          <w:u w:val="single"/>
        </w:rPr>
        <w:t xml:space="preserve"> of the trademark in </w:t>
      </w:r>
      <w:r>
        <w:rPr>
          <w:b w:val="0"/>
          <w:i w:val="0"/>
          <w:smallCaps w:val="0"/>
          <w:strike w:val="0"/>
          <w:sz w:val="22"/>
          <w:u w:val="single"/>
        </w:rPr>
        <w:t>commerce</w:t>
      </w:r>
      <w:r>
        <w:rPr>
          <w:b w:val="0"/>
          <w:i w:val="0"/>
          <w:smallCaps w:val="0"/>
          <w:strike w:val="0"/>
          <w:sz w:val="22"/>
          <w:u w:val="single"/>
        </w:rPr>
        <w:t xml:space="preserve"> </w:t>
      </w:r>
      <w:r>
        <w:rPr>
          <w:b w:val="0"/>
          <w:i w:val="0"/>
          <w:smallCaps w:val="0"/>
          <w:strike w:val="0"/>
          <w:sz w:val="22"/>
          <w:highlight w:val="cyan"/>
          <w:u w:val="single"/>
        </w:rPr>
        <w:t>is</w:t>
      </w:r>
      <w:r>
        <w:rPr>
          <w:b w:val="0"/>
          <w:i w:val="0"/>
          <w:smallCaps w:val="0"/>
          <w:strike w:val="0"/>
          <w:sz w:val="22"/>
          <w:u w:val="single"/>
        </w:rPr>
        <w:t xml:space="preserve"> or will be </w:t>
      </w:r>
      <w:r>
        <w:rPr>
          <w:b w:val="0"/>
          <w:i w:val="0"/>
          <w:smallCaps w:val="0"/>
          <w:strike w:val="0"/>
          <w:sz w:val="22"/>
          <w:highlight w:val="cyan"/>
          <w:u w:val="single"/>
        </w:rPr>
        <w:t>lawful</w:t>
      </w:r>
      <w:r>
        <w:rPr>
          <w:b w:val="0"/>
          <w:i w:val="0"/>
          <w:smallCaps w:val="0"/>
          <w:strike w:val="0"/>
          <w:sz w:val="22"/>
          <w:u w:val="single"/>
        </w:rPr>
        <w:t>.</w:t>
      </w:r>
      <w:r>
        <w:rPr>
          <w:b w:val="0"/>
          <w:i w:val="0"/>
          <w:smallCaps w:val="0"/>
          <w:strike w:val="0"/>
          <w:sz w:val="16"/>
          <w:u w:val="none"/>
        </w:rPr>
        <w:t xml:space="preserve"> 89</w:t>
      </w:r>
    </w:p>
    <w:p>
      <w:pPr>
        <w:spacing w:after="60"/>
      </w:pPr>
      <w:r>
        <w:rPr>
          <w:b w:val="0"/>
          <w:i w:val="0"/>
          <w:smallCaps w:val="0"/>
          <w:strike w:val="0"/>
          <w:sz w:val="16"/>
          <w:u w:val="none"/>
        </w:rPr>
        <w:t>[Footnote 89 Begins]</w:t>
      </w:r>
    </w:p>
    <w:p>
      <w:pPr>
        <w:spacing w:after="60"/>
      </w:pPr>
      <w:r>
        <w:rPr>
          <w:b w:val="0"/>
          <w:i w:val="0"/>
          <w:smallCaps w:val="0"/>
          <w:strike w:val="0"/>
          <w:sz w:val="16"/>
          <w:u w:val="none"/>
        </w:rPr>
        <w:t xml:space="preserve">See Karin D. Jones &amp; James M. Shore, Marijuana Regulation § 11.03(1) (2018); see </w:t>
      </w:r>
      <w:r>
        <w:rPr>
          <w:b w:val="0"/>
          <w:i w:val="0"/>
          <w:smallCaps w:val="0"/>
          <w:strike w:val="0"/>
          <w:sz w:val="16"/>
          <w:u w:val="none"/>
        </w:rPr>
        <w:t>alsoKamin</w:t>
      </w:r>
      <w:r>
        <w:rPr>
          <w:b w:val="0"/>
          <w:i w:val="0"/>
          <w:smallCaps w:val="0"/>
          <w:strike w:val="0"/>
          <w:sz w:val="16"/>
          <w:u w:val="none"/>
        </w:rPr>
        <w:t xml:space="preserve"> &amp; Moffat, supra note 12, at 243-44; see also Danielle Grant-Keane, The Unattainable High of the Marijuana Industry, Wis. Law., Apr. 2017, at 14, 18 (explaining that applications "with </w:t>
      </w:r>
      <w:r>
        <w:rPr>
          <w:b w:val="0"/>
          <w:i w:val="0"/>
          <w:smallCaps w:val="0"/>
          <w:strike w:val="0"/>
          <w:sz w:val="22"/>
          <w:highlight w:val="cyan"/>
          <w:u w:val="single"/>
        </w:rPr>
        <w:t xml:space="preserve">even the </w:t>
      </w:r>
      <w:r>
        <w:rPr>
          <w:b/>
          <w:i w:val="0"/>
          <w:smallCaps w:val="0"/>
          <w:strike w:val="0"/>
          <w:sz w:val="22"/>
          <w:highlight w:val="cyan"/>
          <w:u w:val="single"/>
        </w:rPr>
        <w:t>slightest connection</w:t>
      </w:r>
      <w:r>
        <w:rPr>
          <w:b w:val="0"/>
          <w:i w:val="0"/>
          <w:smallCaps w:val="0"/>
          <w:strike w:val="0"/>
          <w:sz w:val="22"/>
          <w:u w:val="single"/>
        </w:rPr>
        <w:t xml:space="preserve"> to marijuana </w:t>
      </w:r>
      <w:r>
        <w:rPr>
          <w:b w:val="0"/>
          <w:i w:val="0"/>
          <w:smallCaps w:val="0"/>
          <w:strike w:val="0"/>
          <w:sz w:val="22"/>
          <w:highlight w:val="cyan"/>
          <w:u w:val="single"/>
        </w:rPr>
        <w:t>would</w:t>
      </w:r>
      <w:r>
        <w:rPr>
          <w:b w:val="0"/>
          <w:i w:val="0"/>
          <w:smallCaps w:val="0"/>
          <w:strike w:val="0"/>
          <w:sz w:val="22"/>
          <w:u w:val="single"/>
        </w:rPr>
        <w:t xml:space="preserve"> likely </w:t>
      </w:r>
      <w:r>
        <w:rPr>
          <w:b w:val="0"/>
          <w:i w:val="0"/>
          <w:smallCaps w:val="0"/>
          <w:strike w:val="0"/>
          <w:sz w:val="22"/>
          <w:highlight w:val="cyan"/>
          <w:u w:val="single"/>
        </w:rPr>
        <w:t xml:space="preserve">trigger a </w:t>
      </w:r>
      <w:r>
        <w:rPr>
          <w:b/>
          <w:i w:val="0"/>
          <w:smallCaps w:val="0"/>
          <w:strike w:val="0"/>
          <w:sz w:val="22"/>
          <w:highlight w:val="cyan"/>
          <w:u w:val="single"/>
        </w:rPr>
        <w:t>red flag</w:t>
      </w:r>
      <w:r>
        <w:rPr>
          <w:b w:val="0"/>
          <w:i w:val="0"/>
          <w:smallCaps w:val="0"/>
          <w:strike w:val="0"/>
          <w:sz w:val="22"/>
          <w:u w:val="single"/>
        </w:rPr>
        <w:t xml:space="preserve"> for potential unlawful activity</w:t>
      </w:r>
      <w:r>
        <w:rPr>
          <w:b w:val="0"/>
          <w:i w:val="0"/>
          <w:smallCaps w:val="0"/>
          <w:strike w:val="0"/>
          <w:sz w:val="16"/>
          <w:u w:val="none"/>
        </w:rPr>
        <w:t>").</w:t>
      </w:r>
    </w:p>
    <w:p>
      <w:pPr>
        <w:spacing w:after="60"/>
      </w:pPr>
      <w:r>
        <w:rPr>
          <w:b w:val="0"/>
          <w:i w:val="0"/>
          <w:smallCaps w:val="0"/>
          <w:strike w:val="0"/>
          <w:sz w:val="16"/>
          <w:u w:val="none"/>
        </w:rPr>
        <w:t>[Footnote 89 Ends]</w:t>
      </w:r>
    </w:p>
    <w:p>
      <w:pPr>
        <w:spacing w:after="60"/>
      </w:pPr>
      <w:r>
        <w:rPr>
          <w:b w:val="0"/>
          <w:i w:val="0"/>
          <w:smallCaps w:val="0"/>
          <w:strike w:val="0"/>
          <w:sz w:val="22"/>
          <w:u w:val="single"/>
        </w:rPr>
        <w:t xml:space="preserve">Because marijuana is still </w:t>
      </w:r>
      <w:r>
        <w:rPr>
          <w:b/>
          <w:i w:val="0"/>
          <w:smallCaps w:val="0"/>
          <w:strike w:val="0"/>
          <w:sz w:val="22"/>
          <w:u w:val="single"/>
        </w:rPr>
        <w:t>illegal</w:t>
      </w:r>
      <w:r>
        <w:rPr>
          <w:b w:val="0"/>
          <w:i w:val="0"/>
          <w:smallCaps w:val="0"/>
          <w:strike w:val="0"/>
          <w:sz w:val="22"/>
          <w:u w:val="single"/>
        </w:rPr>
        <w:t xml:space="preserve"> under federal law, trademarks for goods and services directly related to the drug are </w:t>
      </w:r>
      <w:r>
        <w:rPr>
          <w:b/>
          <w:i w:val="0"/>
          <w:smallCaps w:val="0"/>
          <w:strike w:val="0"/>
          <w:sz w:val="22"/>
          <w:u w:val="single"/>
        </w:rPr>
        <w:t>barred</w:t>
      </w:r>
      <w:r>
        <w:rPr>
          <w:b w:val="0"/>
          <w:i w:val="0"/>
          <w:smallCaps w:val="0"/>
          <w:strike w:val="0"/>
          <w:sz w:val="22"/>
          <w:u w:val="single"/>
        </w:rPr>
        <w:t xml:space="preserve"> from receiving federal registration because their use in commerce would be considered </w:t>
      </w:r>
      <w:r>
        <w:rPr>
          <w:b/>
          <w:i w:val="0"/>
          <w:smallCaps w:val="0"/>
          <w:strike w:val="0"/>
          <w:sz w:val="22"/>
          <w:u w:val="single"/>
        </w:rPr>
        <w:t>unlawful</w:t>
      </w:r>
      <w:r>
        <w:rPr>
          <w:b w:val="0"/>
          <w:i w:val="0"/>
          <w:smallCaps w:val="0"/>
          <w:strike w:val="0"/>
          <w:sz w:val="22"/>
          <w:u w:val="single"/>
        </w:rPr>
        <w:t>, even in states where marijuana is legal.</w:t>
      </w:r>
      <w:r>
        <w:rPr>
          <w:b w:val="0"/>
          <w:i w:val="0"/>
          <w:smallCaps w:val="0"/>
          <w:strike w:val="0"/>
          <w:sz w:val="16"/>
          <w:u w:val="none"/>
        </w:rPr>
        <w:t xml:space="preserve"> 90</w:t>
      </w:r>
    </w:p>
    <w:p>
      <w:pPr>
        <w:spacing w:after="60"/>
      </w:pPr>
      <w:r>
        <w:rPr>
          <w:b w:val="0"/>
          <w:i w:val="0"/>
          <w:smallCaps w:val="0"/>
          <w:strike w:val="0"/>
          <w:sz w:val="16"/>
          <w:u w:val="none"/>
        </w:rPr>
        <w:t>The view that marijuana's federal illegality bars it from federal trademark protection is outlined in the Trademark Manual of Examining Procedure, which states that "evidence indicating that the identified goods or services involve the sale or transportation of a controlled substance or drug paraphernalia in violation of the Controlled Substances Act ... would be a basis for issuing an inquiry or refusal." 91This provision applies even in states where marijuana is legal because, "regardless of state law, marijuana, marijuana extracts, and the psychoactive component THC remain Schedule I controlled substances under federal law and are subject to the CSA's prohibitions," and they "apply with equal force to the distribution and dispensing of medical marijuana." 92</w:t>
      </w:r>
    </w:p>
    <w:p>
      <w:pPr>
        <w:spacing w:after="60"/>
      </w:pPr>
      <w:r>
        <w:rPr>
          <w:b w:val="0"/>
          <w:i w:val="0"/>
          <w:smallCaps w:val="0"/>
          <w:strike w:val="0"/>
          <w:sz w:val="16"/>
          <w:u w:val="none"/>
        </w:rPr>
        <w:t>The Trademark Trial and Appeal Board (</w:t>
      </w:r>
      <w:r>
        <w:rPr>
          <w:b w:val="0"/>
          <w:i w:val="0"/>
          <w:smallCaps w:val="0"/>
          <w:strike w:val="0"/>
          <w:sz w:val="22"/>
          <w:highlight w:val="cyan"/>
          <w:u w:val="single"/>
        </w:rPr>
        <w:t>TTAB</w:t>
      </w:r>
      <w:r>
        <w:rPr>
          <w:b w:val="0"/>
          <w:i w:val="0"/>
          <w:smallCaps w:val="0"/>
          <w:strike w:val="0"/>
          <w:sz w:val="16"/>
          <w:u w:val="none"/>
        </w:rPr>
        <w:t xml:space="preserve">), the entity that handles appeals of USPTO trademark denials, 93 </w:t>
      </w:r>
      <w:r>
        <w:rPr>
          <w:b w:val="0"/>
          <w:i w:val="0"/>
          <w:smallCaps w:val="0"/>
          <w:strike w:val="0"/>
          <w:sz w:val="22"/>
          <w:highlight w:val="cyan"/>
          <w:u w:val="single"/>
        </w:rPr>
        <w:t>has a</w:t>
      </w:r>
      <w:r>
        <w:rPr>
          <w:b w:val="0"/>
          <w:i w:val="0"/>
          <w:smallCaps w:val="0"/>
          <w:strike w:val="0"/>
          <w:sz w:val="22"/>
          <w:u w:val="single"/>
        </w:rPr>
        <w:t xml:space="preserve"> </w:t>
      </w:r>
      <w:r>
        <w:rPr>
          <w:b/>
          <w:i w:val="0"/>
          <w:smallCaps w:val="0"/>
          <w:strike w:val="0"/>
          <w:sz w:val="22"/>
          <w:u w:val="single"/>
        </w:rPr>
        <w:t xml:space="preserve">long-standing </w:t>
      </w:r>
      <w:r>
        <w:rPr>
          <w:b/>
          <w:i w:val="0"/>
          <w:smallCaps w:val="0"/>
          <w:strike w:val="0"/>
          <w:sz w:val="22"/>
          <w:highlight w:val="cyan"/>
          <w:u w:val="single"/>
        </w:rPr>
        <w:t>practice</w:t>
      </w:r>
      <w:r>
        <w:rPr>
          <w:b w:val="0"/>
          <w:i w:val="0"/>
          <w:smallCaps w:val="0"/>
          <w:strike w:val="0"/>
          <w:sz w:val="22"/>
          <w:highlight w:val="cyan"/>
          <w:u w:val="single"/>
        </w:rPr>
        <w:t xml:space="preserve"> of</w:t>
      </w:r>
      <w:r>
        <w:rPr>
          <w:b w:val="0"/>
          <w:i w:val="0"/>
          <w:smallCaps w:val="0"/>
          <w:strike w:val="0"/>
          <w:sz w:val="22"/>
          <w:u w:val="single"/>
        </w:rPr>
        <w:t xml:space="preserve"> affirming </w:t>
      </w:r>
      <w:r>
        <w:rPr>
          <w:b w:val="0"/>
          <w:i w:val="0"/>
          <w:smallCaps w:val="0"/>
          <w:strike w:val="0"/>
          <w:sz w:val="22"/>
          <w:highlight w:val="cyan"/>
          <w:u w:val="single"/>
        </w:rPr>
        <w:t>denials based on</w:t>
      </w:r>
      <w:r>
        <w:rPr>
          <w:b w:val="0"/>
          <w:i w:val="0"/>
          <w:smallCaps w:val="0"/>
          <w:strike w:val="0"/>
          <w:sz w:val="22"/>
          <w:u w:val="single"/>
        </w:rPr>
        <w:t xml:space="preserve"> a trademark's </w:t>
      </w:r>
      <w:r>
        <w:rPr>
          <w:b/>
          <w:i w:val="0"/>
          <w:smallCaps w:val="0"/>
          <w:strike w:val="0"/>
          <w:sz w:val="22"/>
          <w:highlight w:val="cyan"/>
          <w:u w:val="single"/>
        </w:rPr>
        <w:t>illegal use</w:t>
      </w:r>
      <w:r>
        <w:rPr>
          <w:b w:val="0"/>
          <w:i w:val="0"/>
          <w:smallCaps w:val="0"/>
          <w:strike w:val="0"/>
          <w:sz w:val="22"/>
          <w:u w:val="single"/>
        </w:rPr>
        <w:t xml:space="preserve"> or </w:t>
      </w:r>
      <w:r>
        <w:rPr>
          <w:b/>
          <w:i w:val="0"/>
          <w:smallCaps w:val="0"/>
          <w:strike w:val="0"/>
          <w:sz w:val="22"/>
          <w:u w:val="single"/>
        </w:rPr>
        <w:t>intended use</w:t>
      </w:r>
      <w:r>
        <w:rPr>
          <w:b w:val="0"/>
          <w:i w:val="0"/>
          <w:smallCaps w:val="0"/>
          <w:strike w:val="0"/>
          <w:sz w:val="22"/>
          <w:u w:val="single"/>
        </w:rPr>
        <w:t xml:space="preserve"> in commerce. </w:t>
      </w:r>
      <w:r>
        <w:rPr>
          <w:b w:val="0"/>
          <w:i w:val="0"/>
          <w:smallCaps w:val="0"/>
          <w:strike w:val="0"/>
          <w:sz w:val="16"/>
          <w:u w:val="none"/>
        </w:rPr>
        <w:t>94</w:t>
      </w:r>
    </w:p>
    <w:p>
      <w:pPr>
        <w:spacing w:after="60"/>
      </w:pPr>
      <w:r>
        <w:rPr>
          <w:b w:val="0"/>
          <w:i w:val="0"/>
          <w:smallCaps w:val="0"/>
          <w:strike w:val="0"/>
          <w:sz w:val="16"/>
          <w:u w:val="none"/>
        </w:rPr>
        <w:t>[Footnote 94 Begins]</w:t>
      </w:r>
    </w:p>
    <w:p>
      <w:pPr>
        <w:spacing w:after="60"/>
      </w:pPr>
      <w:r>
        <w:rPr>
          <w:b w:val="0"/>
          <w:i w:val="0"/>
          <w:smallCaps w:val="0"/>
          <w:strike w:val="0"/>
          <w:sz w:val="16"/>
          <w:u w:val="none"/>
        </w:rPr>
        <w:t>See, e.g., In re Stellar Int'l, Inc., 159 U.S.P.Q. (BNA) 48, 51 (T.T.A.B. 1968) ("The term "commerce' whenever and wherever used in the trademark statute must necessarily refer to "</w:t>
      </w:r>
      <w:r>
        <w:rPr>
          <w:b w:val="0"/>
          <w:i w:val="0"/>
          <w:smallCaps w:val="0"/>
          <w:strike w:val="0"/>
          <w:sz w:val="22"/>
          <w:u w:val="single"/>
        </w:rPr>
        <w:t>lawful commerce</w:t>
      </w:r>
      <w:r>
        <w:rPr>
          <w:b w:val="0"/>
          <w:i w:val="0"/>
          <w:smallCaps w:val="0"/>
          <w:strike w:val="0"/>
          <w:sz w:val="16"/>
          <w:u w:val="none"/>
        </w:rPr>
        <w:t xml:space="preserve">' </w:t>
      </w:r>
      <w:r>
        <w:rPr>
          <w:b w:val="0"/>
          <w:i w:val="0"/>
          <w:smallCaps w:val="0"/>
          <w:strike w:val="0"/>
          <w:sz w:val="16"/>
          <w:u w:val="none"/>
        </w:rPr>
        <w:t>... .</w:t>
      </w:r>
      <w:r>
        <w:rPr>
          <w:b w:val="0"/>
          <w:i w:val="0"/>
          <w:smallCaps w:val="0"/>
          <w:strike w:val="0"/>
          <w:sz w:val="16"/>
          <w:u w:val="none"/>
        </w:rPr>
        <w:t xml:space="preserve">"); see </w:t>
      </w:r>
      <w:r>
        <w:rPr>
          <w:b w:val="0"/>
          <w:i w:val="0"/>
          <w:smallCaps w:val="0"/>
          <w:strike w:val="0"/>
          <w:sz w:val="16"/>
          <w:u w:val="none"/>
        </w:rPr>
        <w:t>alsoGray</w:t>
      </w:r>
      <w:r>
        <w:rPr>
          <w:b w:val="0"/>
          <w:i w:val="0"/>
          <w:smallCaps w:val="0"/>
          <w:strike w:val="0"/>
          <w:sz w:val="16"/>
          <w:u w:val="none"/>
        </w:rPr>
        <w:t xml:space="preserve"> v. Daffy Dan's </w:t>
      </w:r>
      <w:r>
        <w:rPr>
          <w:b w:val="0"/>
          <w:i w:val="0"/>
          <w:smallCaps w:val="0"/>
          <w:strike w:val="0"/>
          <w:sz w:val="16"/>
          <w:u w:val="none"/>
        </w:rPr>
        <w:t>Bargaintown</w:t>
      </w:r>
      <w:r>
        <w:rPr>
          <w:b w:val="0"/>
          <w:i w:val="0"/>
          <w:smallCaps w:val="0"/>
          <w:strike w:val="0"/>
          <w:sz w:val="16"/>
          <w:u w:val="none"/>
        </w:rPr>
        <w:t>, 823 F.2d 522 (Fed. Cir. 1987). For a more detailed history of the unlawful use doctrine's evolution, see Christopher R. McElwain, High Stakes: Marijuana Brands and the USPTO's "[Lawful] Use" Registration Criterion (Apr. 15, 2016) (unpublished manuscript) (on file with the INTA Bulletin), http://www.inta.org/Academics/ Documents/2016/McElwain.pdf [https://perma.cc/8TNX-YFTS].</w:t>
      </w:r>
    </w:p>
    <w:p>
      <w:pPr>
        <w:spacing w:after="60"/>
      </w:pPr>
      <w:r>
        <w:rPr>
          <w:b w:val="0"/>
          <w:i w:val="0"/>
          <w:smallCaps w:val="0"/>
          <w:strike w:val="0"/>
          <w:sz w:val="16"/>
          <w:u w:val="none"/>
        </w:rPr>
        <w:t>[Footnote 94 Ends]</w:t>
      </w:r>
    </w:p>
    <w:p>
      <w:pPr>
        <w:spacing w:after="60"/>
      </w:pPr>
      <w:r>
        <w:rPr>
          <w:b w:val="0"/>
          <w:i w:val="0"/>
          <w:smallCaps w:val="0"/>
          <w:strike w:val="0"/>
          <w:sz w:val="22"/>
          <w:u w:val="single"/>
        </w:rPr>
        <w:t>Many recent TTAB decisions have affirmed</w:t>
      </w:r>
      <w:r>
        <w:rPr>
          <w:b w:val="0"/>
          <w:i w:val="0"/>
          <w:smallCaps w:val="0"/>
          <w:strike w:val="0"/>
          <w:sz w:val="16"/>
          <w:u w:val="none"/>
        </w:rPr>
        <w:t xml:space="preserve"> [*486] </w:t>
      </w:r>
      <w:r>
        <w:rPr>
          <w:b w:val="0"/>
          <w:i w:val="0"/>
          <w:smallCaps w:val="0"/>
          <w:strike w:val="0"/>
          <w:sz w:val="22"/>
          <w:u w:val="single"/>
        </w:rPr>
        <w:t xml:space="preserve">denials of trademark protection for </w:t>
      </w:r>
      <w:r>
        <w:rPr>
          <w:b/>
          <w:i w:val="0"/>
          <w:smallCaps w:val="0"/>
          <w:strike w:val="0"/>
          <w:sz w:val="22"/>
          <w:u w:val="single"/>
        </w:rPr>
        <w:t>marijuana-related goods</w:t>
      </w:r>
      <w:r>
        <w:rPr>
          <w:b w:val="0"/>
          <w:i w:val="0"/>
          <w:smallCaps w:val="0"/>
          <w:strike w:val="0"/>
          <w:sz w:val="22"/>
          <w:u w:val="single"/>
        </w:rPr>
        <w:t xml:space="preserve"> and </w:t>
      </w:r>
      <w:r>
        <w:rPr>
          <w:b/>
          <w:i w:val="0"/>
          <w:smallCaps w:val="0"/>
          <w:strike w:val="0"/>
          <w:sz w:val="22"/>
          <w:u w:val="single"/>
        </w:rPr>
        <w:t>services</w:t>
      </w:r>
      <w:r>
        <w:rPr>
          <w:b w:val="0"/>
          <w:i w:val="0"/>
          <w:smallCaps w:val="0"/>
          <w:strike w:val="0"/>
          <w:sz w:val="22"/>
          <w:u w:val="single"/>
        </w:rPr>
        <w:t xml:space="preserve"> due to their prohibition </w:t>
      </w:r>
      <w:r>
        <w:rPr>
          <w:b w:val="0"/>
          <w:i w:val="0"/>
          <w:smallCaps w:val="0"/>
          <w:strike w:val="0"/>
          <w:sz w:val="22"/>
          <w:highlight w:val="cyan"/>
          <w:u w:val="single"/>
        </w:rPr>
        <w:t>under the CSA</w:t>
      </w:r>
      <w:r>
        <w:rPr>
          <w:b w:val="0"/>
          <w:i w:val="0"/>
          <w:smallCaps w:val="0"/>
          <w:strike w:val="0"/>
          <w:sz w:val="22"/>
          <w:u w:val="single"/>
        </w:rPr>
        <w:t xml:space="preserve">. </w:t>
      </w:r>
      <w:r>
        <w:rPr>
          <w:b w:val="0"/>
          <w:i w:val="0"/>
          <w:smallCaps w:val="0"/>
          <w:strike w:val="0"/>
          <w:sz w:val="16"/>
          <w:u w:val="none"/>
        </w:rPr>
        <w:t xml:space="preserve">95 The takeaway from this treatment of marijuana-related trademark applications is that </w:t>
      </w:r>
      <w:r>
        <w:rPr>
          <w:b w:val="0"/>
          <w:i w:val="0"/>
          <w:smallCaps w:val="0"/>
          <w:strike w:val="0"/>
          <w:sz w:val="22"/>
          <w:highlight w:val="cyan"/>
          <w:u w:val="single"/>
        </w:rPr>
        <w:t xml:space="preserve">so long as marijuana is illegal under federal law, </w:t>
      </w:r>
      <w:r>
        <w:rPr>
          <w:b/>
          <w:i w:val="0"/>
          <w:smallCaps w:val="0"/>
          <w:strike w:val="0"/>
          <w:sz w:val="22"/>
          <w:highlight w:val="cyan"/>
          <w:u w:val="single"/>
        </w:rPr>
        <w:t>similar applications</w:t>
      </w:r>
      <w:r>
        <w:rPr>
          <w:b w:val="0"/>
          <w:i w:val="0"/>
          <w:smallCaps w:val="0"/>
          <w:strike w:val="0"/>
          <w:sz w:val="22"/>
          <w:highlight w:val="cyan"/>
          <w:u w:val="single"/>
        </w:rPr>
        <w:t xml:space="preserve"> will</w:t>
      </w:r>
      <w:r>
        <w:rPr>
          <w:b w:val="0"/>
          <w:i w:val="0"/>
          <w:smallCaps w:val="0"/>
          <w:strike w:val="0"/>
          <w:sz w:val="22"/>
          <w:u w:val="single"/>
        </w:rPr>
        <w:t xml:space="preserve"> continue to </w:t>
      </w:r>
      <w:r>
        <w:rPr>
          <w:b w:val="0"/>
          <w:i w:val="0"/>
          <w:smallCaps w:val="0"/>
          <w:strike w:val="0"/>
          <w:sz w:val="22"/>
          <w:highlight w:val="cyan"/>
          <w:u w:val="single"/>
        </w:rPr>
        <w:t>be denied</w:t>
      </w:r>
      <w:r>
        <w:rPr>
          <w:b w:val="0"/>
          <w:i w:val="0"/>
          <w:smallCaps w:val="0"/>
          <w:strike w:val="0"/>
          <w:sz w:val="22"/>
          <w:u w:val="single"/>
        </w:rPr>
        <w:t>.</w:t>
      </w:r>
      <w:r>
        <w:rPr>
          <w:b w:val="0"/>
          <w:i w:val="0"/>
          <w:smallCaps w:val="0"/>
          <w:strike w:val="0"/>
          <w:sz w:val="16"/>
          <w:u w:val="none"/>
        </w:rPr>
        <w:t xml:space="preserve"> 96 Additionally, </w:t>
      </w:r>
      <w:r>
        <w:rPr>
          <w:b w:val="0"/>
          <w:i w:val="0"/>
          <w:smallCaps w:val="0"/>
          <w:strike w:val="0"/>
          <w:sz w:val="22"/>
          <w:highlight w:val="cyan"/>
          <w:u w:val="single"/>
        </w:rPr>
        <w:t>if</w:t>
      </w:r>
      <w:r>
        <w:rPr>
          <w:b w:val="0"/>
          <w:i w:val="0"/>
          <w:smallCaps w:val="0"/>
          <w:strike w:val="0"/>
          <w:sz w:val="22"/>
          <w:u w:val="single"/>
        </w:rPr>
        <w:t xml:space="preserve"> an individual is </w:t>
      </w:r>
      <w:r>
        <w:rPr>
          <w:b/>
          <w:i w:val="0"/>
          <w:smallCaps w:val="0"/>
          <w:strike w:val="0"/>
          <w:sz w:val="22"/>
          <w:highlight w:val="cyan"/>
          <w:u w:val="single"/>
        </w:rPr>
        <w:t>forthcoming</w:t>
      </w:r>
      <w:r>
        <w:rPr>
          <w:b w:val="0"/>
          <w:i w:val="0"/>
          <w:smallCaps w:val="0"/>
          <w:strike w:val="0"/>
          <w:sz w:val="22"/>
          <w:u w:val="single"/>
        </w:rPr>
        <w:t xml:space="preserve"> and </w:t>
      </w:r>
      <w:r>
        <w:rPr>
          <w:b/>
          <w:i w:val="0"/>
          <w:smallCaps w:val="0"/>
          <w:strike w:val="0"/>
          <w:sz w:val="22"/>
          <w:u w:val="single"/>
        </w:rPr>
        <w:t>states</w:t>
      </w:r>
      <w:r>
        <w:rPr>
          <w:b w:val="0"/>
          <w:i w:val="0"/>
          <w:smallCaps w:val="0"/>
          <w:strike w:val="0"/>
          <w:sz w:val="22"/>
          <w:u w:val="single"/>
        </w:rPr>
        <w:t xml:space="preserve"> in their trademark application that the trademark is associated with marijuana, </w:t>
      </w:r>
      <w:r>
        <w:rPr>
          <w:b w:val="0"/>
          <w:i w:val="0"/>
          <w:smallCaps w:val="0"/>
          <w:strike w:val="0"/>
          <w:sz w:val="22"/>
          <w:highlight w:val="cyan"/>
          <w:u w:val="single"/>
        </w:rPr>
        <w:t>they risk</w:t>
      </w:r>
      <w:r>
        <w:rPr>
          <w:b w:val="0"/>
          <w:i w:val="0"/>
          <w:smallCaps w:val="0"/>
          <w:strike w:val="0"/>
          <w:sz w:val="22"/>
          <w:u w:val="single"/>
        </w:rPr>
        <w:t xml:space="preserve"> opening themselves up to </w:t>
      </w:r>
      <w:r>
        <w:rPr>
          <w:b/>
          <w:i w:val="0"/>
          <w:smallCaps w:val="0"/>
          <w:strike w:val="0"/>
          <w:sz w:val="22"/>
          <w:u w:val="single"/>
        </w:rPr>
        <w:t xml:space="preserve">federal criminal </w:t>
      </w:r>
      <w:r>
        <w:rPr>
          <w:b/>
          <w:i w:val="0"/>
          <w:smallCaps w:val="0"/>
          <w:strike w:val="0"/>
          <w:sz w:val="22"/>
          <w:highlight w:val="cyan"/>
          <w:u w:val="single"/>
        </w:rPr>
        <w:t>prosecution</w:t>
      </w:r>
      <w:r>
        <w:rPr>
          <w:b w:val="0"/>
          <w:i w:val="0"/>
          <w:smallCaps w:val="0"/>
          <w:strike w:val="0"/>
          <w:sz w:val="22"/>
          <w:highlight w:val="cyan"/>
          <w:u w:val="single"/>
        </w:rPr>
        <w:t xml:space="preserve"> for admitting</w:t>
      </w:r>
      <w:r>
        <w:rPr>
          <w:b w:val="0"/>
          <w:i w:val="0"/>
          <w:smallCaps w:val="0"/>
          <w:strike w:val="0"/>
          <w:sz w:val="22"/>
          <w:u w:val="single"/>
        </w:rPr>
        <w:t xml:space="preserve"> this </w:t>
      </w:r>
      <w:r>
        <w:rPr>
          <w:b w:val="0"/>
          <w:i w:val="0"/>
          <w:smallCaps w:val="0"/>
          <w:strike w:val="0"/>
          <w:sz w:val="22"/>
          <w:highlight w:val="cyan"/>
          <w:u w:val="single"/>
        </w:rPr>
        <w:t>under oath</w:t>
      </w:r>
      <w:r>
        <w:rPr>
          <w:b w:val="0"/>
          <w:i w:val="0"/>
          <w:smallCaps w:val="0"/>
          <w:strike w:val="0"/>
          <w:sz w:val="22"/>
          <w:u w:val="single"/>
        </w:rPr>
        <w:t>.</w:t>
      </w:r>
      <w:r>
        <w:rPr>
          <w:b w:val="0"/>
          <w:i w:val="0"/>
          <w:smallCaps w:val="0"/>
          <w:strike w:val="0"/>
          <w:sz w:val="16"/>
          <w:u w:val="none"/>
        </w:rPr>
        <w:t xml:space="preserve"> 97 </w:t>
      </w:r>
      <w:r>
        <w:rPr>
          <w:b w:val="0"/>
          <w:i w:val="0"/>
          <w:smallCaps w:val="0"/>
          <w:strike w:val="0"/>
          <w:sz w:val="22"/>
          <w:u w:val="single"/>
        </w:rPr>
        <w:t xml:space="preserve">While there are some </w:t>
      </w:r>
      <w:r>
        <w:rPr>
          <w:b w:val="0"/>
          <w:i w:val="0"/>
          <w:smallCaps w:val="0"/>
          <w:strike w:val="0"/>
          <w:sz w:val="22"/>
          <w:highlight w:val="cyan"/>
          <w:u w:val="single"/>
        </w:rPr>
        <w:t xml:space="preserve">methods for obtaining </w:t>
      </w:r>
      <w:r>
        <w:rPr>
          <w:b/>
          <w:i w:val="0"/>
          <w:smallCaps w:val="0"/>
          <w:strike w:val="0"/>
          <w:sz w:val="22"/>
          <w:highlight w:val="cyan"/>
          <w:u w:val="single"/>
        </w:rPr>
        <w:t>limited</w:t>
      </w:r>
      <w:r>
        <w:rPr>
          <w:b/>
          <w:i w:val="0"/>
          <w:smallCaps w:val="0"/>
          <w:strike w:val="0"/>
          <w:sz w:val="22"/>
          <w:u w:val="single"/>
        </w:rPr>
        <w:t xml:space="preserve"> trademark </w:t>
      </w:r>
      <w:r>
        <w:rPr>
          <w:b/>
          <w:i w:val="0"/>
          <w:smallCaps w:val="0"/>
          <w:strike w:val="0"/>
          <w:sz w:val="22"/>
          <w:highlight w:val="cyan"/>
          <w:u w:val="single"/>
        </w:rPr>
        <w:t>protection</w:t>
      </w:r>
      <w:r>
        <w:rPr>
          <w:b w:val="0"/>
          <w:i w:val="0"/>
          <w:smallCaps w:val="0"/>
          <w:strike w:val="0"/>
          <w:sz w:val="22"/>
          <w:u w:val="single"/>
        </w:rPr>
        <w:t xml:space="preserve"> outside of federal registration, these </w:t>
      </w:r>
      <w:r>
        <w:rPr>
          <w:b/>
          <w:i w:val="0"/>
          <w:smallCaps w:val="0"/>
          <w:strike w:val="0"/>
          <w:sz w:val="22"/>
          <w:u w:val="single"/>
        </w:rPr>
        <w:t>strategies</w:t>
      </w:r>
      <w:r>
        <w:rPr>
          <w:b w:val="0"/>
          <w:i w:val="0"/>
          <w:smallCaps w:val="0"/>
          <w:strike w:val="0"/>
          <w:sz w:val="22"/>
          <w:u w:val="single"/>
        </w:rPr>
        <w:t xml:space="preserve"> </w:t>
      </w:r>
      <w:r>
        <w:rPr>
          <w:b w:val="0"/>
          <w:i w:val="0"/>
          <w:smallCaps w:val="0"/>
          <w:strike w:val="0"/>
          <w:sz w:val="22"/>
          <w:highlight w:val="cyan"/>
          <w:u w:val="single"/>
        </w:rPr>
        <w:t>are</w:t>
      </w:r>
      <w:r>
        <w:rPr>
          <w:b w:val="0"/>
          <w:i w:val="0"/>
          <w:smallCaps w:val="0"/>
          <w:strike w:val="0"/>
          <w:sz w:val="22"/>
          <w:u w:val="single"/>
        </w:rPr>
        <w:t xml:space="preserve"> likely </w:t>
      </w:r>
      <w:r>
        <w:rPr>
          <w:b w:val="0"/>
          <w:i w:val="0"/>
          <w:smallCaps w:val="0"/>
          <w:strike w:val="0"/>
          <w:sz w:val="22"/>
          <w:highlight w:val="cyan"/>
          <w:u w:val="single"/>
        </w:rPr>
        <w:t>not ideal for those seeking to protect their</w:t>
      </w:r>
      <w:r>
        <w:rPr>
          <w:b w:val="0"/>
          <w:i w:val="0"/>
          <w:smallCaps w:val="0"/>
          <w:strike w:val="0"/>
          <w:sz w:val="22"/>
          <w:u w:val="single"/>
        </w:rPr>
        <w:t xml:space="preserve"> medical </w:t>
      </w:r>
      <w:r>
        <w:rPr>
          <w:b w:val="0"/>
          <w:i w:val="0"/>
          <w:smallCaps w:val="0"/>
          <w:strike w:val="0"/>
          <w:sz w:val="22"/>
          <w:highlight w:val="cyan"/>
          <w:u w:val="single"/>
        </w:rPr>
        <w:t>marijuana</w:t>
      </w:r>
      <w:r>
        <w:rPr>
          <w:b w:val="0"/>
          <w:i w:val="0"/>
          <w:smallCaps w:val="0"/>
          <w:strike w:val="0"/>
          <w:sz w:val="22"/>
          <w:u w:val="single"/>
        </w:rPr>
        <w:t xml:space="preserve"> fully and directly.</w:t>
      </w:r>
      <w:r>
        <w:rPr>
          <w:b w:val="0"/>
          <w:i w:val="0"/>
          <w:smallCaps w:val="0"/>
          <w:strike w:val="0"/>
          <w:sz w:val="16"/>
          <w:u w:val="none"/>
        </w:rPr>
        <w:t xml:space="preserve"> 98</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