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Capital flight </w:t>
      </w:r>
      <w:r>
        <w:rPr>
          <w:b/>
          <w:i w:val="0"/>
          <w:smallCaps w:val="0"/>
          <w:strike w:val="0"/>
          <w:sz w:val="26"/>
          <w:u w:val="single"/>
        </w:rPr>
        <w:t>wrecks</w:t>
      </w:r>
      <w:r>
        <w:rPr>
          <w:b/>
          <w:i w:val="0"/>
          <w:smallCaps w:val="0"/>
          <w:strike w:val="0"/>
          <w:sz w:val="26"/>
          <w:u w:val="none"/>
        </w:rPr>
        <w:t xml:space="preserve"> investor certainty.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Ben </w:t>
      </w:r>
      <w:r>
        <w:rPr>
          <w:b/>
          <w:i w:val="0"/>
          <w:smallCaps w:val="0"/>
          <w:strike w:val="0"/>
          <w:sz w:val="26"/>
          <w:u w:val="none"/>
        </w:rPr>
        <w:t>Charoenwong</w:t>
      </w:r>
      <w:r>
        <w:rPr>
          <w:b/>
          <w:i w:val="0"/>
          <w:smallCaps w:val="0"/>
          <w:strike w:val="0"/>
          <w:sz w:val="26"/>
          <w:u w:val="none"/>
        </w:rPr>
        <w:t xml:space="preserve"> 23</w:t>
      </w:r>
      <w:r>
        <w:rPr>
          <w:b w:val="0"/>
          <w:i w:val="0"/>
          <w:smallCaps w:val="0"/>
          <w:strike w:val="0"/>
          <w:u w:val="none"/>
        </w:rPr>
        <w:t xml:space="preserve">, Assistant Professor at the National University of Singapore Business School, 11/23, 2023, “China's capital flight: International investors' journey (back) to the West,” </w:t>
      </w:r>
      <w:r>
        <w:rPr>
          <w:b w:val="0"/>
          <w:i/>
          <w:smallCaps w:val="0"/>
          <w:strike w:val="0"/>
          <w:u w:val="none"/>
        </w:rPr>
        <w:t>ThinkChina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https</w:t>
      </w:r>
      <w:r>
        <w:rPr>
          <w:b w:val="0"/>
          <w:i w:val="0"/>
          <w:smallCaps w:val="0"/>
          <w:strike w:val="0"/>
          <w:u w:val="none"/>
        </w:rPr>
        <w:t>://www.thinkchina.sg/economy/chinas-capital-flight-international-investors-journey-back-west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Whether or 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Chinese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government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 calm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global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investor</w:t>
      </w:r>
      <w:r>
        <w:rPr>
          <w:b/>
          <w:i w:val="0"/>
          <w:smallCaps w:val="0"/>
          <w:strike w:val="0"/>
          <w:sz w:val="22"/>
          <w:u w:val="single"/>
        </w:rPr>
        <w:t xml:space="preserve">s'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fears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remains to be seen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Previous direct interventions in the stock market are associated with </w:t>
      </w:r>
      <w:r>
        <w:rPr>
          <w:b/>
          <w:i w:val="0"/>
          <w:smallCaps w:val="0"/>
          <w:strike w:val="0"/>
          <w:sz w:val="22"/>
          <w:u w:val="single"/>
        </w:rPr>
        <w:t>positive effects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However, the direct interventions themselves do not resolve the underlying fundamentals and risks not only being a band-aid on a gushing wound but the cause of potential capital misallocation as well, as seen in Japan, which has also directly intervened in equity markets in the past.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Direct interventions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foreign exchange market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may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unsustainable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given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 xml:space="preserve">fundamental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dislocations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monetary policy and economic conditions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between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China and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rest of the world</w:t>
      </w:r>
      <w:r>
        <w:rPr>
          <w:b w:val="0"/>
          <w:i w:val="0"/>
          <w:smallCaps w:val="0"/>
          <w:strike w:val="0"/>
          <w:sz w:val="16"/>
          <w:u w:val="none"/>
        </w:rPr>
        <w:t>. Even within Asia, data from LSEG Workspace shows out of 12 countries, China is the only one cutting interest rates.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China's challenge is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turn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rom a government-directed investment-driven economic growth model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more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balanced growth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model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private sector investment and domestic consumption.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painful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but sustainable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solution would be to reduce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 xml:space="preserve">underlying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policy risks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Implementing transparent regulations can instill confidence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 address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at least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policy-driven concerns behind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capital flight.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regulatory frameworks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can reassure foreign investors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