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Courts have empirically </w:t>
      </w:r>
      <w:r>
        <w:rPr>
          <w:b/>
          <w:i w:val="0"/>
          <w:smallCaps w:val="0"/>
          <w:strike w:val="0"/>
          <w:sz w:val="26"/>
          <w:u w:val="single"/>
        </w:rPr>
        <w:t>upheld</w:t>
      </w:r>
      <w:r>
        <w:rPr>
          <w:b/>
          <w:i w:val="0"/>
          <w:smallCaps w:val="0"/>
          <w:strike w:val="0"/>
          <w:sz w:val="26"/>
          <w:u w:val="none"/>
        </w:rPr>
        <w:t xml:space="preserve"> Congress’s standard for trademarks. </w:t>
      </w:r>
    </w:p>
    <w:p>
      <w:pPr>
        <w:spacing w:after="80"/>
      </w:pPr>
      <w:r>
        <w:rPr>
          <w:b w:val="0"/>
          <w:i w:val="0"/>
          <w:smallCaps w:val="0"/>
          <w:strike w:val="0"/>
          <w:u w:val="none"/>
        </w:rPr>
        <w:t xml:space="preserve">Stephanie </w:t>
      </w:r>
      <w:r>
        <w:rPr>
          <w:b/>
          <w:i w:val="0"/>
          <w:smallCaps w:val="0"/>
          <w:strike w:val="0"/>
          <w:sz w:val="26"/>
          <w:u w:val="none"/>
        </w:rPr>
        <w:t>Geiger-Oneto</w:t>
      </w:r>
      <w:r>
        <w:rPr>
          <w:b/>
          <w:i w:val="0"/>
          <w:smallCaps w:val="0"/>
          <w:strike w:val="0"/>
          <w:sz w:val="26"/>
          <w:u w:val="none"/>
        </w:rPr>
        <w:t xml:space="preserve"> 20</w:t>
      </w:r>
      <w:r>
        <w:rPr>
          <w:b w:val="0"/>
          <w:i w:val="0"/>
          <w:smallCaps w:val="0"/>
          <w:strike w:val="0"/>
          <w:u w:val="none"/>
        </w:rPr>
        <w:t xml:space="preserve">, Associate Professor of Marketing at the University of Wyoming College of Business; Robert Sprague, Professor of Legal Studies in Business, University of Wyoming College of Business, Winter 2020, “Cannabis Regulatory Confusion and Its Impact on Consumer Adoption,” </w:t>
      </w:r>
      <w:r>
        <w:rPr>
          <w:b w:val="0"/>
          <w:i/>
          <w:smallCaps w:val="0"/>
          <w:strike w:val="0"/>
          <w:u w:val="none"/>
        </w:rPr>
        <w:t>American Business Law Journal</w:t>
      </w:r>
      <w:r>
        <w:rPr>
          <w:b w:val="0"/>
          <w:i w:val="0"/>
          <w:smallCaps w:val="0"/>
          <w:strike w:val="0"/>
          <w:u w:val="none"/>
        </w:rPr>
        <w:t>, 57(4), pp. 751-752, Lexis, kav</w:t>
      </w:r>
    </w:p>
    <w:p>
      <w:pPr>
        <w:spacing w:after="60"/>
      </w:pPr>
      <w:r>
        <w:rPr>
          <w:b w:val="0"/>
          <w:i w:val="0"/>
          <w:smallCaps w:val="0"/>
          <w:strike w:val="0"/>
          <w:sz w:val="22"/>
          <w:u w:val="single"/>
        </w:rPr>
        <w:t xml:space="preserve">Federal </w:t>
      </w:r>
      <w:r>
        <w:rPr>
          <w:b w:val="0"/>
          <w:i w:val="0"/>
          <w:smallCaps w:val="0"/>
          <w:strike w:val="0"/>
          <w:sz w:val="22"/>
          <w:highlight w:val="cyan"/>
          <w:u w:val="single"/>
        </w:rPr>
        <w:t>trademark law does not protect marijuana</w:t>
      </w:r>
      <w:r>
        <w:rPr>
          <w:b w:val="0"/>
          <w:i w:val="0"/>
          <w:smallCaps w:val="0"/>
          <w:strike w:val="0"/>
          <w:sz w:val="22"/>
          <w:u w:val="single"/>
        </w:rPr>
        <w:t xml:space="preserve"> products </w:t>
      </w:r>
      <w:r>
        <w:rPr>
          <w:b w:val="0"/>
          <w:i w:val="0"/>
          <w:smallCaps w:val="0"/>
          <w:strike w:val="0"/>
          <w:sz w:val="22"/>
          <w:highlight w:val="cyan"/>
          <w:u w:val="single"/>
        </w:rPr>
        <w:t>as long as</w:t>
      </w:r>
      <w:r>
        <w:rPr>
          <w:b w:val="0"/>
          <w:i w:val="0"/>
          <w:smallCaps w:val="0"/>
          <w:strike w:val="0"/>
          <w:sz w:val="22"/>
          <w:highlight w:val="cyan"/>
          <w:u w:val="single"/>
        </w:rPr>
        <w:t xml:space="preserve"> marijuana remains</w:t>
      </w:r>
      <w:r>
        <w:rPr>
          <w:b w:val="0"/>
          <w:i w:val="0"/>
          <w:smallCaps w:val="0"/>
          <w:strike w:val="0"/>
          <w:sz w:val="22"/>
          <w:u w:val="single"/>
        </w:rPr>
        <w:t xml:space="preserve"> a </w:t>
      </w:r>
      <w:r>
        <w:rPr>
          <w:b/>
          <w:i w:val="0"/>
          <w:smallCaps w:val="0"/>
          <w:strike w:val="0"/>
          <w:sz w:val="22"/>
          <w:highlight w:val="cyan"/>
          <w:u w:val="single"/>
        </w:rPr>
        <w:t>prohibited schedul</w:t>
      </w:r>
      <w:r>
        <w:rPr>
          <w:b/>
          <w:i w:val="0"/>
          <w:smallCaps w:val="0"/>
          <w:strike w:val="0"/>
          <w:sz w:val="22"/>
          <w:u w:val="single"/>
        </w:rPr>
        <w:t>ed drug</w:t>
      </w:r>
      <w:r>
        <w:rPr>
          <w:b w:val="0"/>
          <w:i w:val="0"/>
          <w:smallCaps w:val="0"/>
          <w:strike w:val="0"/>
          <w:sz w:val="22"/>
          <w:u w:val="single"/>
        </w:rPr>
        <w:t>.</w:t>
      </w:r>
      <w:r>
        <w:rPr>
          <w:b w:val="0"/>
          <w:i w:val="0"/>
          <w:smallCaps w:val="0"/>
          <w:strike w:val="0"/>
          <w:sz w:val="16"/>
          <w:u w:val="none"/>
        </w:rPr>
        <w:t xml:space="preserve"> 108 </w:t>
      </w:r>
      <w:r>
        <w:rPr>
          <w:b w:val="0"/>
          <w:i w:val="0"/>
          <w:smallCaps w:val="0"/>
          <w:strike w:val="0"/>
          <w:sz w:val="22"/>
          <w:highlight w:val="cyan"/>
          <w:u w:val="single"/>
        </w:rPr>
        <w:t>The U.S. P</w:t>
      </w:r>
      <w:r>
        <w:rPr>
          <w:b w:val="0"/>
          <w:i w:val="0"/>
          <w:smallCaps w:val="0"/>
          <w:strike w:val="0"/>
          <w:sz w:val="22"/>
          <w:u w:val="single"/>
        </w:rPr>
        <w:t xml:space="preserve">atent and </w:t>
      </w:r>
      <w:r>
        <w:rPr>
          <w:b w:val="0"/>
          <w:i w:val="0"/>
          <w:smallCaps w:val="0"/>
          <w:strike w:val="0"/>
          <w:sz w:val="22"/>
          <w:highlight w:val="cyan"/>
          <w:u w:val="single"/>
        </w:rPr>
        <w:t>T</w:t>
      </w:r>
      <w:r>
        <w:rPr>
          <w:b w:val="0"/>
          <w:i w:val="0"/>
          <w:smallCaps w:val="0"/>
          <w:strike w:val="0"/>
          <w:sz w:val="22"/>
          <w:u w:val="single"/>
        </w:rPr>
        <w:t xml:space="preserve">rademark </w:t>
      </w:r>
      <w:r>
        <w:rPr>
          <w:b w:val="0"/>
          <w:i w:val="0"/>
          <w:smallCaps w:val="0"/>
          <w:strike w:val="0"/>
          <w:sz w:val="22"/>
          <w:highlight w:val="cyan"/>
          <w:u w:val="single"/>
        </w:rPr>
        <w:t>O</w:t>
      </w:r>
      <w:r>
        <w:rPr>
          <w:b w:val="0"/>
          <w:i w:val="0"/>
          <w:smallCaps w:val="0"/>
          <w:strike w:val="0"/>
          <w:sz w:val="22"/>
          <w:u w:val="single"/>
        </w:rPr>
        <w:t xml:space="preserve">ffice currently </w:t>
      </w:r>
      <w:r>
        <w:rPr>
          <w:b w:val="0"/>
          <w:i w:val="0"/>
          <w:smallCaps w:val="0"/>
          <w:strike w:val="0"/>
          <w:sz w:val="22"/>
          <w:highlight w:val="cyan"/>
          <w:u w:val="single"/>
        </w:rPr>
        <w:t xml:space="preserve">rejects </w:t>
      </w:r>
      <w:r>
        <w:rPr>
          <w:b/>
          <w:i w:val="0"/>
          <w:smallCaps w:val="0"/>
          <w:strike w:val="0"/>
          <w:sz w:val="22"/>
          <w:highlight w:val="cyan"/>
          <w:u w:val="single"/>
        </w:rPr>
        <w:t>trademark registration</w:t>
      </w:r>
      <w:r>
        <w:rPr>
          <w:b/>
          <w:i w:val="0"/>
          <w:smallCaps w:val="0"/>
          <w:strike w:val="0"/>
          <w:sz w:val="22"/>
          <w:u w:val="single"/>
        </w:rPr>
        <w:t xml:space="preserve"> applications</w:t>
      </w:r>
      <w:r>
        <w:rPr>
          <w:b w:val="0"/>
          <w:i w:val="0"/>
          <w:smallCaps w:val="0"/>
          <w:strike w:val="0"/>
          <w:sz w:val="22"/>
          <w:u w:val="single"/>
        </w:rPr>
        <w:t xml:space="preserve"> from growers, producers, and sellers of marijuana </w:t>
      </w:r>
      <w:r>
        <w:rPr>
          <w:b w:val="0"/>
          <w:i w:val="0"/>
          <w:smallCaps w:val="0"/>
          <w:strike w:val="0"/>
          <w:sz w:val="22"/>
          <w:highlight w:val="cyan"/>
          <w:u w:val="single"/>
        </w:rPr>
        <w:t xml:space="preserve">because marijuana remains </w:t>
      </w:r>
      <w:r>
        <w:rPr>
          <w:b/>
          <w:i w:val="0"/>
          <w:smallCaps w:val="0"/>
          <w:strike w:val="0"/>
          <w:sz w:val="22"/>
          <w:highlight w:val="cyan"/>
          <w:u w:val="single"/>
        </w:rPr>
        <w:t>illegal</w:t>
      </w:r>
      <w:r>
        <w:rPr>
          <w:b w:val="0"/>
          <w:i w:val="0"/>
          <w:smallCaps w:val="0"/>
          <w:strike w:val="0"/>
          <w:sz w:val="22"/>
          <w:u w:val="single"/>
        </w:rPr>
        <w:t xml:space="preserve"> under federal law</w:t>
      </w:r>
      <w:r>
        <w:rPr>
          <w:b w:val="0"/>
          <w:i w:val="0"/>
          <w:smallCaps w:val="0"/>
          <w:strike w:val="0"/>
          <w:sz w:val="16"/>
          <w:u w:val="none"/>
        </w:rPr>
        <w:t xml:space="preserve">. 109 In fact, </w:t>
      </w:r>
      <w:r>
        <w:rPr>
          <w:b w:val="0"/>
          <w:i w:val="0"/>
          <w:smallCaps w:val="0"/>
          <w:strike w:val="0"/>
          <w:sz w:val="22"/>
          <w:u w:val="single"/>
        </w:rPr>
        <w:t xml:space="preserve">marijuana-related businesses cannot avail themselves of any sort of </w:t>
      </w:r>
      <w:r>
        <w:rPr>
          <w:b/>
          <w:i w:val="0"/>
          <w:smallCaps w:val="0"/>
          <w:strike w:val="0"/>
          <w:sz w:val="22"/>
          <w:u w:val="single"/>
        </w:rPr>
        <w:t>trademark protection</w:t>
      </w:r>
      <w:r>
        <w:rPr>
          <w:b w:val="0"/>
          <w:i w:val="0"/>
          <w:smallCaps w:val="0"/>
          <w:strike w:val="0"/>
          <w:sz w:val="22"/>
          <w:u w:val="single"/>
        </w:rPr>
        <w:t>.</w:t>
      </w:r>
      <w:r>
        <w:rPr>
          <w:b w:val="0"/>
          <w:i w:val="0"/>
          <w:smallCaps w:val="0"/>
          <w:strike w:val="0"/>
          <w:sz w:val="16"/>
          <w:u w:val="none"/>
        </w:rPr>
        <w:t xml:space="preserve"> For example, </w:t>
      </w:r>
      <w:r>
        <w:rPr>
          <w:b w:val="0"/>
          <w:i w:val="0"/>
          <w:smallCaps w:val="0"/>
          <w:strike w:val="0"/>
          <w:sz w:val="22"/>
          <w:u w:val="single"/>
        </w:rPr>
        <w:t>Kiva Health Brands</w:t>
      </w:r>
      <w:r>
        <w:rPr>
          <w:b w:val="0"/>
          <w:i w:val="0"/>
          <w:smallCaps w:val="0"/>
          <w:strike w:val="0"/>
          <w:sz w:val="16"/>
          <w:u w:val="none"/>
        </w:rPr>
        <w:t xml:space="preserve"> LLC (</w:t>
      </w:r>
      <w:r>
        <w:rPr>
          <w:b w:val="0"/>
          <w:i w:val="0"/>
          <w:smallCaps w:val="0"/>
          <w:strike w:val="0"/>
          <w:sz w:val="22"/>
          <w:u w:val="single"/>
        </w:rPr>
        <w:t>KHB</w:t>
      </w:r>
      <w:r>
        <w:rPr>
          <w:b w:val="0"/>
          <w:i w:val="0"/>
          <w:smallCaps w:val="0"/>
          <w:strike w:val="0"/>
          <w:sz w:val="16"/>
          <w:u w:val="none"/>
        </w:rPr>
        <w:t xml:space="preserve">), </w:t>
      </w:r>
      <w:r>
        <w:rPr>
          <w:b w:val="0"/>
          <w:i w:val="0"/>
          <w:smallCaps w:val="0"/>
          <w:strike w:val="0"/>
          <w:sz w:val="22"/>
          <w:u w:val="single"/>
        </w:rPr>
        <w:t>which supplies natural foods under</w:t>
      </w:r>
      <w:r>
        <w:rPr>
          <w:b w:val="0"/>
          <w:i w:val="0"/>
          <w:smallCaps w:val="0"/>
          <w:strike w:val="0"/>
          <w:sz w:val="16"/>
          <w:u w:val="none"/>
        </w:rPr>
        <w:t xml:space="preserve"> the trademark </w:t>
      </w:r>
      <w:r>
        <w:rPr>
          <w:b w:val="0"/>
          <w:i w:val="0"/>
          <w:smallCaps w:val="0"/>
          <w:strike w:val="0"/>
          <w:sz w:val="22"/>
          <w:u w:val="single"/>
        </w:rPr>
        <w:t>KIVA</w:t>
      </w:r>
      <w:r>
        <w:rPr>
          <w:b w:val="0"/>
          <w:i w:val="0"/>
          <w:smallCaps w:val="0"/>
          <w:strike w:val="0"/>
          <w:sz w:val="16"/>
          <w:u w:val="none"/>
        </w:rPr>
        <w:t xml:space="preserve"> (issued in 2013), </w:t>
      </w:r>
      <w:r>
        <w:rPr>
          <w:b w:val="0"/>
          <w:i w:val="0"/>
          <w:smallCaps w:val="0"/>
          <w:strike w:val="0"/>
          <w:sz w:val="22"/>
          <w:u w:val="single"/>
        </w:rPr>
        <w:t>filed a trademark infringement lawsuit against Kiva Brands</w:t>
      </w:r>
      <w:r>
        <w:rPr>
          <w:b w:val="0"/>
          <w:i w:val="0"/>
          <w:smallCaps w:val="0"/>
          <w:strike w:val="0"/>
          <w:sz w:val="16"/>
          <w:u w:val="none"/>
        </w:rPr>
        <w:t>, Inc. (</w:t>
      </w:r>
      <w:r>
        <w:rPr>
          <w:b w:val="0"/>
          <w:i w:val="0"/>
          <w:smallCaps w:val="0"/>
          <w:strike w:val="0"/>
          <w:sz w:val="22"/>
          <w:u w:val="single"/>
        </w:rPr>
        <w:t>KBI</w:t>
      </w:r>
      <w:r>
        <w:rPr>
          <w:b w:val="0"/>
          <w:i w:val="0"/>
          <w:smallCaps w:val="0"/>
          <w:strike w:val="0"/>
          <w:sz w:val="16"/>
          <w:u w:val="none"/>
        </w:rPr>
        <w:t xml:space="preserve">), </w:t>
      </w:r>
      <w:r>
        <w:rPr>
          <w:b w:val="0"/>
          <w:i w:val="0"/>
          <w:smallCaps w:val="0"/>
          <w:strike w:val="0"/>
          <w:sz w:val="22"/>
          <w:u w:val="single"/>
        </w:rPr>
        <w:t>a maker of</w:t>
      </w:r>
      <w:r>
        <w:rPr>
          <w:b w:val="0"/>
          <w:i w:val="0"/>
          <w:smallCaps w:val="0"/>
          <w:strike w:val="0"/>
          <w:sz w:val="16"/>
          <w:u w:val="none"/>
        </w:rPr>
        <w:t xml:space="preserve"> cannabis-infused chocolate and other </w:t>
      </w:r>
      <w:r>
        <w:rPr>
          <w:b w:val="0"/>
          <w:i w:val="0"/>
          <w:smallCaps w:val="0"/>
          <w:strike w:val="0"/>
          <w:sz w:val="22"/>
          <w:u w:val="single"/>
        </w:rPr>
        <w:t>"edibles,"</w:t>
      </w:r>
      <w:r>
        <w:rPr>
          <w:b w:val="0"/>
          <w:i w:val="0"/>
          <w:smallCaps w:val="0"/>
          <w:strike w:val="0"/>
          <w:sz w:val="16"/>
          <w:u w:val="none"/>
        </w:rPr>
        <w:t xml:space="preserve"> that had called its products "Kiva Confections" (sometimes without the "Confections" identifier) since 2010. 110KBI asserted prior use as an affirmative defense, claiming it was the senior user of KIVA. 111Acknowledging that KBI was asserting a common law right to the KIVA mark under California law, </w:t>
      </w:r>
      <w:r>
        <w:rPr>
          <w:b w:val="0"/>
          <w:i w:val="0"/>
          <w:smallCaps w:val="0"/>
          <w:strike w:val="0"/>
          <w:sz w:val="22"/>
          <w:u w:val="single"/>
        </w:rPr>
        <w:t>the court concluded that KBI was nevertheless defending against a federal trademark claim.</w:t>
      </w:r>
      <w:r>
        <w:rPr>
          <w:b w:val="0"/>
          <w:i w:val="0"/>
          <w:smallCaps w:val="0"/>
          <w:strike w:val="0"/>
          <w:sz w:val="16"/>
          <w:u w:val="none"/>
        </w:rPr>
        <w:t xml:space="preserve"> 112Also, </w:t>
      </w:r>
      <w:r>
        <w:rPr>
          <w:b w:val="0"/>
          <w:i w:val="0"/>
          <w:smallCaps w:val="0"/>
          <w:strike w:val="0"/>
          <w:sz w:val="22"/>
          <w:u w:val="single"/>
        </w:rPr>
        <w:t xml:space="preserve">the court noted that </w:t>
      </w:r>
      <w:r>
        <w:rPr>
          <w:b w:val="0"/>
          <w:i w:val="0"/>
          <w:smallCaps w:val="0"/>
          <w:strike w:val="0"/>
          <w:sz w:val="22"/>
          <w:highlight w:val="cyan"/>
          <w:u w:val="single"/>
        </w:rPr>
        <w:t xml:space="preserve">KBI's </w:t>
      </w:r>
      <w:r>
        <w:rPr>
          <w:b/>
          <w:i w:val="0"/>
          <w:smallCaps w:val="0"/>
          <w:strike w:val="0"/>
          <w:sz w:val="22"/>
          <w:highlight w:val="cyan"/>
          <w:u w:val="single"/>
        </w:rPr>
        <w:t>prior use</w:t>
      </w:r>
      <w:r>
        <w:rPr>
          <w:b w:val="0"/>
          <w:i w:val="0"/>
          <w:smallCaps w:val="0"/>
          <w:strike w:val="0"/>
          <w:sz w:val="22"/>
          <w:highlight w:val="cyan"/>
          <w:u w:val="single"/>
        </w:rPr>
        <w:t xml:space="preserve"> </w:t>
      </w:r>
      <w:r>
        <w:rPr>
          <w:b w:val="0"/>
          <w:i w:val="0"/>
          <w:smallCaps w:val="0"/>
          <w:strike w:val="0"/>
          <w:sz w:val="22"/>
          <w:u w:val="single"/>
        </w:rPr>
        <w:t>of</w:t>
      </w:r>
      <w:r>
        <w:rPr>
          <w:b w:val="0"/>
          <w:i w:val="0"/>
          <w:smallCaps w:val="0"/>
          <w:strike w:val="0"/>
          <w:sz w:val="22"/>
          <w:u w:val="single"/>
        </w:rPr>
        <w:t xml:space="preserve"> the mark </w:t>
      </w:r>
      <w:r>
        <w:rPr>
          <w:b w:val="0"/>
          <w:i w:val="0"/>
          <w:smallCaps w:val="0"/>
          <w:strike w:val="0"/>
          <w:sz w:val="22"/>
          <w:highlight w:val="cyan"/>
          <w:u w:val="single"/>
        </w:rPr>
        <w:t xml:space="preserve">was </w:t>
      </w:r>
      <w:r>
        <w:rPr>
          <w:b/>
          <w:i w:val="0"/>
          <w:smallCaps w:val="0"/>
          <w:strike w:val="0"/>
          <w:sz w:val="22"/>
          <w:highlight w:val="cyan"/>
          <w:u w:val="single"/>
        </w:rPr>
        <w:t>illegal</w:t>
      </w:r>
      <w:r>
        <w:rPr>
          <w:b w:val="0"/>
          <w:i w:val="0"/>
          <w:smallCaps w:val="0"/>
          <w:strike w:val="0"/>
          <w:sz w:val="22"/>
          <w:u w:val="single"/>
        </w:rPr>
        <w:t xml:space="preserve"> under federal law.</w:t>
      </w:r>
      <w:r>
        <w:rPr>
          <w:b w:val="0"/>
          <w:i w:val="0"/>
          <w:smallCaps w:val="0"/>
          <w:strike w:val="0"/>
          <w:sz w:val="16"/>
          <w:u w:val="none"/>
        </w:rPr>
        <w:t xml:space="preserve"> 113"</w:t>
      </w:r>
      <w:r>
        <w:rPr>
          <w:b w:val="0"/>
          <w:i w:val="0"/>
          <w:smallCaps w:val="0"/>
          <w:strike w:val="0"/>
          <w:sz w:val="22"/>
          <w:u w:val="single"/>
        </w:rPr>
        <w:t xml:space="preserve">KBI therefore </w:t>
      </w:r>
      <w:r>
        <w:rPr>
          <w:b w:val="0"/>
          <w:i w:val="0"/>
          <w:smallCaps w:val="0"/>
          <w:strike w:val="0"/>
          <w:sz w:val="22"/>
          <w:highlight w:val="cyan"/>
          <w:u w:val="single"/>
        </w:rPr>
        <w:t xml:space="preserve">did not make </w:t>
      </w:r>
      <w:r>
        <w:rPr>
          <w:b/>
          <w:i w:val="0"/>
          <w:smallCaps w:val="0"/>
          <w:strike w:val="0"/>
          <w:sz w:val="22"/>
          <w:highlight w:val="cyan"/>
          <w:u w:val="single"/>
        </w:rPr>
        <w:t>lawful</w:t>
      </w:r>
      <w:r>
        <w:rPr>
          <w:b/>
          <w:i w:val="0"/>
          <w:smallCaps w:val="0"/>
          <w:strike w:val="0"/>
          <w:sz w:val="22"/>
          <w:u w:val="single"/>
        </w:rPr>
        <w:t xml:space="preserve"> prior </w:t>
      </w:r>
      <w:r>
        <w:rPr>
          <w:b/>
          <w:i w:val="0"/>
          <w:smallCaps w:val="0"/>
          <w:strike w:val="0"/>
          <w:sz w:val="22"/>
          <w:highlight w:val="cyan"/>
          <w:u w:val="single"/>
        </w:rPr>
        <w:t>use</w:t>
      </w:r>
      <w:r>
        <w:rPr>
          <w:b w:val="0"/>
          <w:i w:val="0"/>
          <w:smallCaps w:val="0"/>
          <w:strike w:val="0"/>
          <w:sz w:val="16"/>
          <w:u w:val="none"/>
        </w:rPr>
        <w:t xml:space="preserve"> [*752] </w:t>
      </w:r>
      <w:r>
        <w:rPr>
          <w:b w:val="0"/>
          <w:i w:val="0"/>
          <w:smallCaps w:val="0"/>
          <w:strike w:val="0"/>
          <w:sz w:val="22"/>
          <w:u w:val="single"/>
        </w:rPr>
        <w:t>of the mark</w:t>
      </w:r>
      <w:r>
        <w:rPr>
          <w:b w:val="0"/>
          <w:i w:val="0"/>
          <w:smallCaps w:val="0"/>
          <w:strike w:val="0"/>
          <w:sz w:val="16"/>
          <w:u w:val="none"/>
        </w:rPr>
        <w:t>," 114</w:t>
      </w:r>
    </w:p>
    <w:p>
      <w:pPr>
        <w:spacing w:after="60"/>
      </w:pPr>
      <w:r>
        <w:rPr>
          <w:b w:val="0"/>
          <w:i w:val="0"/>
          <w:smallCaps w:val="0"/>
          <w:strike w:val="0"/>
          <w:sz w:val="16"/>
          <w:u w:val="none"/>
        </w:rPr>
        <w:t>[Footnote 114 Begins]</w:t>
      </w:r>
    </w:p>
    <w:p>
      <w:pPr>
        <w:spacing w:after="60"/>
      </w:pPr>
      <w:r>
        <w:rPr>
          <w:b w:val="0"/>
          <w:i w:val="0"/>
          <w:smallCaps w:val="0"/>
          <w:strike w:val="0"/>
          <w:sz w:val="16"/>
          <w:u w:val="none"/>
        </w:rPr>
        <w:t>Id. ("</w:t>
      </w:r>
      <w:r>
        <w:rPr>
          <w:b w:val="0"/>
          <w:i w:val="0"/>
          <w:smallCaps w:val="0"/>
          <w:strike w:val="0"/>
          <w:sz w:val="22"/>
          <w:u w:val="single"/>
        </w:rPr>
        <w:t xml:space="preserve">To hold that KBI's prior use of the KIVA mark on a product that is </w:t>
      </w:r>
      <w:r>
        <w:rPr>
          <w:b/>
          <w:i w:val="0"/>
          <w:smallCaps w:val="0"/>
          <w:strike w:val="0"/>
          <w:sz w:val="22"/>
          <w:u w:val="single"/>
        </w:rPr>
        <w:t>illegal</w:t>
      </w:r>
      <w:r>
        <w:rPr>
          <w:b w:val="0"/>
          <w:i w:val="0"/>
          <w:smallCaps w:val="0"/>
          <w:strike w:val="0"/>
          <w:sz w:val="22"/>
          <w:u w:val="single"/>
        </w:rPr>
        <w:t xml:space="preserve"> under federal law is a legitimate defense to KHB's federal trademark would put the government in the anomalous position of extending the </w:t>
      </w:r>
      <w:r>
        <w:rPr>
          <w:b/>
          <w:i w:val="0"/>
          <w:smallCaps w:val="0"/>
          <w:strike w:val="0"/>
          <w:sz w:val="22"/>
          <w:u w:val="single"/>
        </w:rPr>
        <w:t>benefits</w:t>
      </w:r>
      <w:r>
        <w:rPr>
          <w:b w:val="0"/>
          <w:i w:val="0"/>
          <w:smallCaps w:val="0"/>
          <w:strike w:val="0"/>
          <w:sz w:val="22"/>
          <w:u w:val="single"/>
        </w:rPr>
        <w:t xml:space="preserve"> of trademark protection to a seller based upon actions the seller took in </w:t>
      </w:r>
      <w:r>
        <w:rPr>
          <w:b/>
          <w:i w:val="0"/>
          <w:smallCaps w:val="0"/>
          <w:strike w:val="0"/>
          <w:sz w:val="22"/>
          <w:u w:val="single"/>
        </w:rPr>
        <w:t>violation</w:t>
      </w:r>
      <w:r>
        <w:rPr>
          <w:b w:val="0"/>
          <w:i w:val="0"/>
          <w:smallCaps w:val="0"/>
          <w:strike w:val="0"/>
          <w:sz w:val="22"/>
          <w:u w:val="single"/>
        </w:rPr>
        <w:t xml:space="preserve"> of that government's own laws</w:t>
      </w:r>
      <w:r>
        <w:rPr>
          <w:b w:val="0"/>
          <w:i w:val="0"/>
          <w:smallCaps w:val="0"/>
          <w:strike w:val="0"/>
          <w:sz w:val="16"/>
          <w:u w:val="none"/>
        </w:rPr>
        <w:t>.") (internal quotation marks omitted).</w:t>
      </w:r>
    </w:p>
    <w:p>
      <w:pPr>
        <w:spacing w:after="60"/>
      </w:pPr>
      <w:r>
        <w:rPr>
          <w:b w:val="0"/>
          <w:i w:val="0"/>
          <w:smallCaps w:val="0"/>
          <w:strike w:val="0"/>
          <w:sz w:val="16"/>
          <w:u w:val="none"/>
        </w:rPr>
        <w:t>[Footnote 114 Ends]</w:t>
      </w:r>
    </w:p>
    <w:p>
      <w:pPr>
        <w:spacing w:after="60"/>
      </w:pPr>
      <w:r>
        <w:rPr>
          <w:b w:val="0"/>
          <w:i w:val="0"/>
          <w:smallCaps w:val="0"/>
          <w:strike w:val="0"/>
          <w:sz w:val="16"/>
          <w:u w:val="none"/>
        </w:rPr>
        <w:t xml:space="preserve">and </w:t>
      </w:r>
      <w:r>
        <w:rPr>
          <w:b w:val="0"/>
          <w:i w:val="0"/>
          <w:smallCaps w:val="0"/>
          <w:strike w:val="0"/>
          <w:sz w:val="22"/>
          <w:highlight w:val="cyan"/>
          <w:u w:val="single"/>
        </w:rPr>
        <w:t>KHB succeeded in its</w:t>
      </w:r>
      <w:r>
        <w:rPr>
          <w:b w:val="0"/>
          <w:i w:val="0"/>
          <w:smallCaps w:val="0"/>
          <w:strike w:val="0"/>
          <w:sz w:val="22"/>
          <w:u w:val="single"/>
        </w:rPr>
        <w:t xml:space="preserve"> </w:t>
      </w:r>
      <w:r>
        <w:rPr>
          <w:b/>
          <w:i w:val="0"/>
          <w:smallCaps w:val="0"/>
          <w:strike w:val="0"/>
          <w:sz w:val="22"/>
          <w:u w:val="single"/>
        </w:rPr>
        <w:t xml:space="preserve">trademark </w:t>
      </w:r>
      <w:r>
        <w:rPr>
          <w:b/>
          <w:i w:val="0"/>
          <w:smallCaps w:val="0"/>
          <w:strike w:val="0"/>
          <w:sz w:val="22"/>
          <w:highlight w:val="cyan"/>
          <w:u w:val="single"/>
        </w:rPr>
        <w:t>infringement claim</w:t>
      </w:r>
      <w:r>
        <w:rPr>
          <w:b w:val="0"/>
          <w:i w:val="0"/>
          <w:smallCaps w:val="0"/>
          <w:strike w:val="0"/>
          <w:sz w:val="16"/>
          <w:u w:val="none"/>
        </w:rPr>
        <w:t>.</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