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w:t>
      </w:r>
      <w:r>
        <w:rPr>
          <w:b/>
          <w:i w:val="0"/>
          <w:smallCaps w:val="0"/>
          <w:strike w:val="0"/>
          <w:sz w:val="26"/>
          <w:u w:val="single"/>
        </w:rPr>
        <w:t>illegal</w:t>
      </w:r>
      <w:r>
        <w:rPr>
          <w:b/>
          <w:i w:val="0"/>
          <w:smallCaps w:val="0"/>
          <w:strike w:val="0"/>
          <w:sz w:val="26"/>
          <w:u w:val="none"/>
        </w:rPr>
        <w:t xml:space="preserve"> under federal law. </w:t>
      </w:r>
    </w:p>
    <w:p>
      <w:pPr>
        <w:spacing w:after="80"/>
      </w:pPr>
      <w:r>
        <w:rPr>
          <w:b w:val="0"/>
          <w:i w:val="0"/>
          <w:smallCaps w:val="0"/>
          <w:strike w:val="0"/>
          <w:u w:val="none"/>
        </w:rPr>
        <w:t xml:space="preserve">Alicia R. </w:t>
      </w:r>
      <w:r>
        <w:rPr>
          <w:b/>
          <w:i w:val="0"/>
          <w:smallCaps w:val="0"/>
          <w:strike w:val="0"/>
          <w:sz w:val="26"/>
          <w:u w:val="none"/>
        </w:rPr>
        <w:t>Ashcraft 24</w:t>
      </w:r>
      <w:r>
        <w:rPr>
          <w:b w:val="0"/>
          <w:i w:val="0"/>
          <w:smallCaps w:val="0"/>
          <w:strike w:val="0"/>
          <w:u w:val="none"/>
        </w:rPr>
        <w:t xml:space="preserve">, co-founder and managing partner at Ashcraft &amp; Bar LLP, April 2024, “Intellectual Property Protection in the Cannabis Industry,” </w:t>
      </w:r>
      <w:r>
        <w:rPr>
          <w:b w:val="0"/>
          <w:i/>
          <w:smallCaps w:val="0"/>
          <w:strike w:val="0"/>
          <w:u w:val="none"/>
        </w:rPr>
        <w:t>Nevada Lawyer</w:t>
      </w:r>
      <w:r>
        <w:rPr>
          <w:b w:val="0"/>
          <w:i w:val="0"/>
          <w:smallCaps w:val="0"/>
          <w:strike w:val="0"/>
          <w:u w:val="none"/>
        </w:rPr>
        <w:t>, 32(1), p. 2, Lexis, kav</w:t>
      </w:r>
    </w:p>
    <w:p>
      <w:pPr>
        <w:spacing w:after="60"/>
      </w:pPr>
      <w:r>
        <w:rPr>
          <w:b w:val="0"/>
          <w:i w:val="0"/>
          <w:smallCaps w:val="0"/>
          <w:strike w:val="0"/>
          <w:sz w:val="16"/>
          <w:u w:val="none"/>
        </w:rPr>
        <w:t xml:space="preserve">Trademark and service mark protection is widely used to prevent competitors from capitalizing on a successful name or brand while also protecting consumers from confusion as to the source of the goods or services they are buying. </w:t>
      </w:r>
      <w:r>
        <w:rPr>
          <w:b w:val="0"/>
          <w:i w:val="0"/>
          <w:smallCaps w:val="0"/>
          <w:strike w:val="0"/>
          <w:sz w:val="22"/>
          <w:u w:val="single"/>
        </w:rPr>
        <w:t xml:space="preserve">In the cannabis industry, </w:t>
      </w:r>
      <w:r>
        <w:rPr>
          <w:b w:val="0"/>
          <w:i w:val="0"/>
          <w:smallCaps w:val="0"/>
          <w:strike w:val="0"/>
          <w:sz w:val="22"/>
          <w:highlight w:val="cyan"/>
          <w:u w:val="single"/>
        </w:rPr>
        <w:t xml:space="preserve">trademark protection can be </w:t>
      </w:r>
      <w:r>
        <w:rPr>
          <w:b/>
          <w:i w:val="0"/>
          <w:smallCaps w:val="0"/>
          <w:strike w:val="0"/>
          <w:sz w:val="22"/>
          <w:highlight w:val="cyan"/>
          <w:u w:val="single"/>
        </w:rPr>
        <w:t>difficult</w:t>
      </w:r>
      <w:r>
        <w:rPr>
          <w:b w:val="0"/>
          <w:i w:val="0"/>
          <w:smallCaps w:val="0"/>
          <w:strike w:val="0"/>
          <w:sz w:val="22"/>
          <w:u w:val="single"/>
        </w:rPr>
        <w:t xml:space="preserve"> to acquire </w:t>
      </w:r>
      <w:r>
        <w:rPr>
          <w:b w:val="0"/>
          <w:i w:val="0"/>
          <w:smallCaps w:val="0"/>
          <w:strike w:val="0"/>
          <w:sz w:val="22"/>
          <w:highlight w:val="cyan"/>
          <w:u w:val="single"/>
        </w:rPr>
        <w:t>as</w:t>
      </w:r>
      <w:r>
        <w:rPr>
          <w:b w:val="0"/>
          <w:i w:val="0"/>
          <w:smallCaps w:val="0"/>
          <w:strike w:val="0"/>
          <w:sz w:val="22"/>
          <w:u w:val="single"/>
        </w:rPr>
        <w:t xml:space="preserve"> federal trademark registra</w:t>
      </w:r>
      <w:r>
        <w:rPr>
          <w:b w:val="0"/>
          <w:i w:val="0"/>
          <w:smallCaps w:val="0"/>
          <w:strike w:val="0"/>
          <w:sz w:val="22"/>
          <w:highlight w:val="cyan"/>
          <w:u w:val="single"/>
        </w:rPr>
        <w:t xml:space="preserve">tion is only allowed for </w:t>
      </w:r>
      <w:r>
        <w:rPr>
          <w:b/>
          <w:i w:val="0"/>
          <w:smallCaps w:val="0"/>
          <w:strike w:val="0"/>
          <w:sz w:val="22"/>
          <w:highlight w:val="cyan"/>
          <w:u w:val="single"/>
        </w:rPr>
        <w:t>lawful use</w:t>
      </w:r>
      <w:r>
        <w:rPr>
          <w:b w:val="0"/>
          <w:i w:val="0"/>
          <w:smallCaps w:val="0"/>
          <w:strike w:val="0"/>
          <w:sz w:val="22"/>
          <w:highlight w:val="cyan"/>
          <w:u w:val="single"/>
        </w:rPr>
        <w:t xml:space="preserve">, and marijuana remains illegal under </w:t>
      </w:r>
      <w:r>
        <w:rPr>
          <w:b/>
          <w:i w:val="0"/>
          <w:smallCaps w:val="0"/>
          <w:strike w:val="0"/>
          <w:sz w:val="22"/>
          <w:highlight w:val="cyan"/>
          <w:u w:val="single"/>
        </w:rPr>
        <w:t>federal law</w:t>
      </w:r>
      <w:r>
        <w:rPr>
          <w:b w:val="0"/>
          <w:i w:val="0"/>
          <w:smallCaps w:val="0"/>
          <w:strike w:val="0"/>
          <w:sz w:val="22"/>
          <w:highlight w:val="cyan"/>
          <w:u w:val="single"/>
        </w:rPr>
        <w:t>.</w:t>
      </w:r>
      <w:r>
        <w:rPr>
          <w:b w:val="0"/>
          <w:i w:val="0"/>
          <w:smallCaps w:val="0"/>
          <w:strike w:val="0"/>
          <w:sz w:val="16"/>
          <w:highlight w:val="cyan"/>
          <w:u w:val="none"/>
        </w:rPr>
        <w:t xml:space="preserve"> </w:t>
      </w:r>
      <w:r>
        <w:rPr>
          <w:b w:val="0"/>
          <w:i w:val="0"/>
          <w:smallCaps w:val="0"/>
          <w:strike w:val="0"/>
          <w:sz w:val="16"/>
          <w:u w:val="none"/>
        </w:rPr>
        <w:t>This</w:t>
      </w:r>
      <w:r>
        <w:rPr>
          <w:b w:val="0"/>
          <w:i w:val="0"/>
          <w:smallCaps w:val="0"/>
          <w:strike w:val="0"/>
          <w:sz w:val="16"/>
          <w:u w:val="none"/>
        </w:rPr>
        <w:t xml:space="preserve"> rule was modified slightly by the 2018 Farm Bill, which allows registration so long as the products, including hemp and cannabidiol (CBD) goods, contain no more than 0.3 percent tetrahydrocannabinol (THC). </w:t>
      </w:r>
      <w:r>
        <w:rPr>
          <w:b w:val="0"/>
          <w:i w:val="0"/>
          <w:smallCaps w:val="0"/>
          <w:strike w:val="0"/>
          <w:sz w:val="22"/>
          <w:u w:val="single"/>
        </w:rPr>
        <w:t xml:space="preserve">Other </w:t>
      </w:r>
      <w:r>
        <w:rPr>
          <w:b w:val="0"/>
          <w:i w:val="0"/>
          <w:smallCaps w:val="0"/>
          <w:strike w:val="0"/>
          <w:sz w:val="22"/>
          <w:u w:val="single"/>
        </w:rPr>
        <w:t>noncannabis</w:t>
      </w:r>
      <w:r>
        <w:rPr>
          <w:b w:val="0"/>
          <w:i w:val="0"/>
          <w:smallCaps w:val="0"/>
          <w:strike w:val="0"/>
          <w:sz w:val="22"/>
          <w:u w:val="single"/>
        </w:rPr>
        <w:t xml:space="preserve"> goods and services, such as smoker's articles and paraphernalia, consulting services, topicals, batteries for vaporizers, machines, packaging, and website blogs may have the availability to file for </w:t>
      </w:r>
      <w:r>
        <w:rPr>
          <w:b/>
          <w:i w:val="0"/>
          <w:smallCaps w:val="0"/>
          <w:strike w:val="0"/>
          <w:sz w:val="22"/>
          <w:u w:val="single"/>
        </w:rPr>
        <w:t>federal trademark protection</w:t>
      </w:r>
      <w:r>
        <w:rPr>
          <w:b w:val="0"/>
          <w:i w:val="0"/>
          <w:smallCaps w:val="0"/>
          <w:strike w:val="0"/>
          <w:sz w:val="22"/>
          <w:u w:val="single"/>
        </w:rPr>
        <w:t xml:space="preserve"> and thus designate the source of such non-cannabis goods and services.</w:t>
      </w:r>
      <w:r>
        <w:rPr>
          <w:b w:val="0"/>
          <w:i w:val="0"/>
          <w:smallCaps w:val="0"/>
          <w:strike w:val="0"/>
          <w:sz w:val="16"/>
          <w:u w:val="none"/>
        </w:rPr>
        <w:t xml:space="preserve"> Additionally, </w:t>
      </w:r>
      <w:r>
        <w:rPr>
          <w:b w:val="0"/>
          <w:i w:val="0"/>
          <w:smallCaps w:val="0"/>
          <w:strike w:val="0"/>
          <w:sz w:val="22"/>
          <w:u w:val="single"/>
        </w:rPr>
        <w:t xml:space="preserve">state trademark registrations may be available for cannabis goods that do </w:t>
      </w:r>
      <w:r>
        <w:rPr>
          <w:b/>
          <w:i w:val="0"/>
          <w:smallCaps w:val="0"/>
          <w:strike w:val="0"/>
          <w:sz w:val="22"/>
          <w:u w:val="single"/>
        </w:rPr>
        <w:t>contain levels</w:t>
      </w:r>
      <w:r>
        <w:rPr>
          <w:b w:val="0"/>
          <w:i w:val="0"/>
          <w:smallCaps w:val="0"/>
          <w:strike w:val="0"/>
          <w:sz w:val="22"/>
          <w:u w:val="single"/>
        </w:rPr>
        <w:t xml:space="preserve"> of THC above 0.3 percent, especially in states that have </w:t>
      </w:r>
      <w:r>
        <w:rPr>
          <w:b/>
          <w:i w:val="0"/>
          <w:smallCaps w:val="0"/>
          <w:strike w:val="0"/>
          <w:sz w:val="22"/>
          <w:u w:val="single"/>
        </w:rPr>
        <w:t>legalized</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When successfully applied</w:t>
      </w:r>
      <w:r>
        <w:rPr>
          <w:b w:val="0"/>
          <w:i w:val="0"/>
          <w:smallCaps w:val="0"/>
          <w:strike w:val="0"/>
          <w:sz w:val="22"/>
          <w:u w:val="single"/>
        </w:rPr>
        <w:t xml:space="preserve">, </w:t>
      </w:r>
      <w:r>
        <w:rPr>
          <w:b w:val="0"/>
          <w:i w:val="0"/>
          <w:smallCaps w:val="0"/>
          <w:strike w:val="0"/>
          <w:sz w:val="22"/>
          <w:highlight w:val="cyan"/>
          <w:u w:val="single"/>
        </w:rPr>
        <w:t>trademark</w:t>
      </w:r>
      <w:r>
        <w:rPr>
          <w:b w:val="0"/>
          <w:i w:val="0"/>
          <w:smallCaps w:val="0"/>
          <w:strike w:val="0"/>
          <w:sz w:val="22"/>
          <w:u w:val="single"/>
        </w:rPr>
        <w:t xml:space="preserve"> can </w:t>
      </w:r>
      <w:r>
        <w:rPr>
          <w:b w:val="0"/>
          <w:i w:val="0"/>
          <w:smallCaps w:val="0"/>
          <w:strike w:val="0"/>
          <w:sz w:val="22"/>
          <w:highlight w:val="cyan"/>
          <w:u w:val="single"/>
        </w:rPr>
        <w:t xml:space="preserve">provide </w:t>
      </w:r>
      <w:r>
        <w:rPr>
          <w:b/>
          <w:i w:val="0"/>
          <w:smallCaps w:val="0"/>
          <w:strike w:val="0"/>
          <w:sz w:val="22"/>
          <w:highlight w:val="cyan"/>
          <w:u w:val="single"/>
        </w:rPr>
        <w:t>protection</w:t>
      </w:r>
      <w:r>
        <w:rPr>
          <w:b w:val="0"/>
          <w:i w:val="0"/>
          <w:smallCaps w:val="0"/>
          <w:strike w:val="0"/>
          <w:sz w:val="22"/>
          <w:u w:val="single"/>
        </w:rPr>
        <w:t xml:space="preserve"> for brands and can cover any word, name, symbol, or device that consumers use to identify </w:t>
      </w:r>
      <w:r>
        <w:rPr>
          <w:b w:val="0"/>
          <w:i w:val="0"/>
          <w:smallCaps w:val="0"/>
          <w:strike w:val="0"/>
          <w:sz w:val="22"/>
          <w:highlight w:val="cyan"/>
          <w:u w:val="single"/>
        </w:rPr>
        <w:t>and distinguish the</w:t>
      </w:r>
      <w:r>
        <w:rPr>
          <w:b w:val="0"/>
          <w:i w:val="0"/>
          <w:smallCaps w:val="0"/>
          <w:strike w:val="0"/>
          <w:sz w:val="22"/>
          <w:u w:val="single"/>
        </w:rPr>
        <w:t xml:space="preserve"> </w:t>
      </w:r>
      <w:r>
        <w:rPr>
          <w:b/>
          <w:i w:val="0"/>
          <w:smallCaps w:val="0"/>
          <w:strike w:val="0"/>
          <w:sz w:val="22"/>
          <w:u w:val="single"/>
        </w:rPr>
        <w:t xml:space="preserve">cannabis </w:t>
      </w:r>
      <w:r>
        <w:rPr>
          <w:b/>
          <w:i w:val="0"/>
          <w:smallCaps w:val="0"/>
          <w:strike w:val="0"/>
          <w:sz w:val="22"/>
          <w:highlight w:val="cyan"/>
          <w:u w:val="single"/>
        </w:rPr>
        <w:t>business</w:t>
      </w:r>
      <w:r>
        <w:rPr>
          <w:b w:val="0"/>
          <w:i w:val="0"/>
          <w:smallCaps w:val="0"/>
          <w:strike w:val="0"/>
          <w:sz w:val="22"/>
          <w:highlight w:val="cyan"/>
          <w:u w:val="single"/>
        </w:rPr>
        <w:t xml:space="preserve"> as the source of goods or services</w:t>
      </w:r>
      <w:r>
        <w:rPr>
          <w:b w:val="0"/>
          <w:i w:val="0"/>
          <w:smallCaps w:val="0"/>
          <w:strike w:val="0"/>
          <w:sz w:val="22"/>
          <w:u w:val="single"/>
        </w:rPr>
        <w:t xml:space="preserve"> and may last for so long as the </w:t>
      </w:r>
      <w:r>
        <w:rPr>
          <w:b/>
          <w:i w:val="0"/>
          <w:smallCaps w:val="0"/>
          <w:strike w:val="0"/>
          <w:sz w:val="22"/>
          <w:u w:val="single"/>
        </w:rPr>
        <w:t>trademark</w:t>
      </w:r>
      <w:r>
        <w:rPr>
          <w:b w:val="0"/>
          <w:i w:val="0"/>
          <w:smallCaps w:val="0"/>
          <w:strike w:val="0"/>
          <w:sz w:val="22"/>
          <w:u w:val="single"/>
        </w:rPr>
        <w:t xml:space="preserve"> is used in commerce</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