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Trademark laundering </w:t>
      </w:r>
      <w:r>
        <w:rPr>
          <w:b/>
          <w:i w:val="0"/>
          <w:smallCaps w:val="0"/>
          <w:strike w:val="0"/>
          <w:sz w:val="26"/>
          <w:u w:val="single"/>
        </w:rPr>
        <w:t>increases</w:t>
      </w:r>
      <w:r>
        <w:rPr>
          <w:b/>
          <w:i w:val="0"/>
          <w:smallCaps w:val="0"/>
          <w:strike w:val="0"/>
          <w:sz w:val="26"/>
          <w:u w:val="none"/>
        </w:rPr>
        <w:t xml:space="preserve"> consumer confusion and unfair competition.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Viva R. </w:t>
      </w:r>
      <w:r>
        <w:rPr>
          <w:b/>
          <w:i w:val="0"/>
          <w:smallCaps w:val="0"/>
          <w:strike w:val="0"/>
          <w:sz w:val="26"/>
          <w:u w:val="none"/>
        </w:rPr>
        <w:t>Moffat 22</w:t>
      </w:r>
      <w:r>
        <w:rPr>
          <w:b w:val="0"/>
          <w:i w:val="0"/>
          <w:smallCaps w:val="0"/>
          <w:strike w:val="0"/>
          <w:u w:val="none"/>
        </w:rPr>
        <w:t xml:space="preserve">, Professor of Law and Co-Director of the Intellectual Property and Technology Law Program at the University of Denver Sturm College of Law; Sam Kamin, Chauncey G. Wilson Memorial Research Chair and Professor of Law at the University of Denver Sturm College of Law; Tim Maffett, JD from University of Denver Sturm College of Law, Law Clerk to Supreme Court, May 2022, “Cannabis, Consumers, and the Trademark Laundering Trap,” </w:t>
      </w:r>
      <w:r>
        <w:rPr>
          <w:b w:val="0"/>
          <w:i/>
          <w:smallCaps w:val="0"/>
          <w:strike w:val="0"/>
          <w:u w:val="none"/>
        </w:rPr>
        <w:t>William &amp; Mary Law Review</w:t>
      </w:r>
      <w:r>
        <w:rPr>
          <w:b w:val="0"/>
          <w:i w:val="0"/>
          <w:smallCaps w:val="0"/>
          <w:strike w:val="0"/>
          <w:u w:val="none"/>
        </w:rPr>
        <w:t>, 63(6), pp. 1978-19</w:t>
      </w:r>
      <w:r>
        <w:rPr>
          <w:b w:val="0"/>
          <w:i w:val="0"/>
          <w:smallCaps w:val="0"/>
          <w:strike w:val="0"/>
          <w:u w:val="none"/>
        </w:rPr>
        <w:t>7</w:t>
      </w:r>
      <w:r>
        <w:rPr>
          <w:b w:val="0"/>
          <w:i w:val="0"/>
          <w:smallCaps w:val="0"/>
          <w:strike w:val="0"/>
          <w:u w:val="none"/>
        </w:rPr>
        <w:t>9,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apparent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success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trademark-laundering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strategy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obscures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significant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concerns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way that the PTO and the courts have interpreted and applied the lawful use doctrine has led to a situation in which there may be more downside than upside to federal registration for marijuana firms. What is more,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 xml:space="preserve">current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downsides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trademark registration are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become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problematic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presenting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significant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hurdles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the United States inches closer to </w:t>
      </w:r>
      <w:r>
        <w:rPr>
          <w:b/>
          <w:i w:val="0"/>
          <w:smallCaps w:val="0"/>
          <w:strike w:val="0"/>
          <w:sz w:val="22"/>
          <w:u w:val="single"/>
        </w:rPr>
        <w:t>federal legalization</w:t>
      </w:r>
      <w:r>
        <w:rPr>
          <w:b w:val="0"/>
          <w:i w:val="0"/>
          <w:smallCaps w:val="0"/>
          <w:strike w:val="0"/>
          <w:sz w:val="16"/>
          <w:u w:val="none"/>
        </w:rPr>
        <w:t>. We explain in this Part why the current situation presents more problems than we anticipated and what it implies for the future - for cannabis companies, for their lawyers, and for consumers.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A. For Cannabis Companies and Cannabis Consumers, Registration Is a Trap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fact that the PTO requires disclaimers from (some) marijuana companies, and the way in which courts have interpreted and applied those disclaimers, means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[*1979]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getting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benefit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they might have expected from their federal trademark registrations. </w:t>
      </w:r>
      <w:r>
        <w:rPr>
          <w:b w:val="0"/>
          <w:i w:val="0"/>
          <w:smallCaps w:val="0"/>
          <w:strike w:val="0"/>
          <w:sz w:val="16"/>
          <w:u w:val="none"/>
        </w:rPr>
        <w:t>191Indeed, in some circumstances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would have been better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</w:t>
      </w:r>
      <w:r>
        <w:rPr>
          <w:b/>
          <w:i w:val="0"/>
          <w:smallCaps w:val="0"/>
          <w:strike w:val="0"/>
          <w:sz w:val="22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 to have sought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trademark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at 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Perhaps more significantly,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consumers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made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worse off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as well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PTO's handling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these marks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creating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rather than preventing,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consumer confusion, and encouraging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rather than punishing, deception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unfair competition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