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ITU applications </w:t>
      </w:r>
      <w:r>
        <w:rPr>
          <w:b/>
          <w:i w:val="0"/>
          <w:smallCaps w:val="0"/>
          <w:strike w:val="0"/>
          <w:sz w:val="26"/>
          <w:u w:val="single"/>
        </w:rPr>
        <w:t>fail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John </w:t>
      </w:r>
      <w:r>
        <w:rPr>
          <w:b/>
          <w:i w:val="0"/>
          <w:smallCaps w:val="0"/>
          <w:strike w:val="0"/>
          <w:sz w:val="26"/>
          <w:u w:val="none"/>
        </w:rPr>
        <w:t>Gilbertson 20</w:t>
      </w:r>
      <w:r>
        <w:rPr>
          <w:b w:val="0"/>
          <w:i w:val="0"/>
          <w:smallCaps w:val="0"/>
          <w:strike w:val="0"/>
          <w:u w:val="none"/>
        </w:rPr>
        <w:t xml:space="preserve">, JD from Drake University Law School, “Blunt Advice: A Crash Course in Cannabis Trademarks,” </w:t>
      </w:r>
      <w:r>
        <w:rPr>
          <w:b w:val="0"/>
          <w:i/>
          <w:smallCaps w:val="0"/>
          <w:strike w:val="0"/>
          <w:u w:val="none"/>
        </w:rPr>
        <w:t>IDEA</w:t>
      </w:r>
      <w:r>
        <w:rPr>
          <w:b w:val="0"/>
          <w:i w:val="0"/>
          <w:smallCaps w:val="0"/>
          <w:strike w:val="0"/>
          <w:u w:val="none"/>
        </w:rPr>
        <w:t>, Vol. 60, pp. 539-540, Lexis,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For those brands that want federal registration for their cannabis marks right now, and are comfortable with some degree of risk, a few novel tactics have emerged. The [*540] first involves filing an intent to use (ITU) application under Section 1(b). Intent to use applications </w:t>
      </w:r>
      <w:r>
        <w:rPr>
          <w:b w:val="0"/>
          <w:i w:val="0"/>
          <w:smallCaps w:val="0"/>
          <w:strike w:val="0"/>
          <w:sz w:val="16"/>
          <w:u w:val="none"/>
        </w:rPr>
        <w:t>allow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 applicant to secure its place in line without having to </w:t>
      </w:r>
      <w:r>
        <w:rPr>
          <w:b w:val="0"/>
          <w:i w:val="0"/>
          <w:smallCaps w:val="0"/>
          <w:strike w:val="0"/>
          <w:sz w:val="16"/>
          <w:u w:val="none"/>
        </w:rPr>
        <w:t>actually use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the mark in commerce. Once an ITU application has been granted a notice of allowance, the applicant will have six months (extendable to three years) to file a statement of use, thereby transforming the ITU allowance into a full-blown federally registered trademark.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savvy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cannabis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brand might file 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ITU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application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now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declaring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cannabis-related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goods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services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(or will be)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lawful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under the CSA,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simply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pray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it comes true before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three-year window</w:t>
      </w:r>
      <w:r>
        <w:rPr>
          <w:b/>
          <w:i w:val="0"/>
          <w:smallCaps w:val="0"/>
          <w:strike w:val="0"/>
          <w:sz w:val="22"/>
          <w:u w:val="single"/>
        </w:rPr>
        <w:t xml:space="preserve"> lapses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160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Given 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long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timeline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examination,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such a tactic would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if successful,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confer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considerable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head start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to those seeking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nationwide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priority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their cannabis marks.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obvious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risk is that if no change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the law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actually occurs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, the mark will be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just 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unlawful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three years down the road as it is right now;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the applicant will then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have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start</w:t>
      </w:r>
      <w:r>
        <w:rPr>
          <w:b/>
          <w:i w:val="0"/>
          <w:smallCaps w:val="0"/>
          <w:strike w:val="0"/>
          <w:sz w:val="22"/>
          <w:u w:val="single"/>
        </w:rPr>
        <w:t xml:space="preserve"> all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over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with a new application. At the end of the day, however,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this seems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unlikely</w:t>
      </w:r>
      <w:r>
        <w:rPr>
          <w:b/>
          <w:i w:val="0"/>
          <w:smallCaps w:val="0"/>
          <w:strike w:val="0"/>
          <w:sz w:val="22"/>
          <w:u w:val="single"/>
        </w:rPr>
        <w:t xml:space="preserve"> solution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since the USPTO is entitled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ask questions to which the applicant is required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truthfully respond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161 An alternative is to apply, wait for Office Action, respond, wait for final, and then before the response is due, refile just to keep the application going.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