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1. </w:t>
      </w:r>
      <w:r>
        <w:rPr>
          <w:b/>
          <w:i w:val="0"/>
          <w:smallCaps w:val="0"/>
          <w:strike w:val="0"/>
          <w:sz w:val="26"/>
          <w:u w:val="none"/>
        </w:rPr>
        <w:t xml:space="preserve">We meet. The plan increases trademark protection by declassifying marijuana.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Stephanie Geiger-</w:t>
      </w:r>
      <w:r>
        <w:rPr>
          <w:b/>
          <w:i w:val="0"/>
          <w:smallCaps w:val="0"/>
          <w:strike w:val="0"/>
          <w:sz w:val="26"/>
          <w:u w:val="none"/>
        </w:rPr>
        <w:t>Oneto 20</w:t>
      </w:r>
      <w:r>
        <w:rPr>
          <w:b w:val="0"/>
          <w:i w:val="0"/>
          <w:smallCaps w:val="0"/>
          <w:strike w:val="0"/>
          <w:u w:val="none"/>
        </w:rPr>
        <w:t xml:space="preserve">, Associate Professor of Marketing at the University of Wyoming College of Business; Robert Sprague, Professor of Legal Studies in Business, University of Wyoming College of Business, Winter 2020, “Cannabis Regulatory Confusion and Its Impact on Consumer Adoption,” </w:t>
      </w:r>
      <w:r>
        <w:rPr>
          <w:b w:val="0"/>
          <w:i/>
          <w:smallCaps w:val="0"/>
          <w:strike w:val="0"/>
          <w:u w:val="none"/>
        </w:rPr>
        <w:t>American Business Law Journal</w:t>
      </w:r>
      <w:r>
        <w:rPr>
          <w:b w:val="0"/>
          <w:i w:val="0"/>
          <w:smallCaps w:val="0"/>
          <w:strike w:val="0"/>
          <w:u w:val="none"/>
        </w:rPr>
        <w:t>, 57(4), pp. 749-750,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 to the CSA,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federal laws prohibit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illegal activities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particularly those associated with illicit drug distribution,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 relying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services and protections that are routinely available to businesses </w:t>
      </w:r>
      <w:r>
        <w:rPr>
          <w:b w:val="0"/>
          <w:i w:val="0"/>
          <w:smallCaps w:val="0"/>
          <w:strike w:val="0"/>
          <w:sz w:val="22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banking, tax relief,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trademark protection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. Because of marijuana's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Schedule I classification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the CSA, these services and benefits remain </w:t>
      </w:r>
      <w:r>
        <w:rPr>
          <w:b/>
          <w:i w:val="0"/>
          <w:smallCaps w:val="0"/>
          <w:strike w:val="0"/>
          <w:sz w:val="22"/>
          <w:u w:val="single"/>
        </w:rPr>
        <w:t>largely unavailable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marijuana-related businesses</w:t>
      </w:r>
      <w:r>
        <w:rPr>
          <w:b w:val="0"/>
          <w:i w:val="0"/>
          <w:smallCaps w:val="0"/>
          <w:strike w:val="0"/>
          <w:sz w:val="16"/>
          <w:u w:val="none"/>
        </w:rPr>
        <w:t>. For example, marijuana producers and sellers in states where personal use became legal quickly found that they were denied banking services because the banks feared money laundering prosecution under federal [*750] law. 100 Today, an estimated seventy percent of legal marijuana businesses do not have a bank account. 101 Even if the federal government was disinclined to prosecute banks for dealing with state-legal marijuana businesses, 102 those business's assets would still be subject to forfeiture under the CSA. 103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